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8B" w:rsidRPr="00BE1F91" w:rsidRDefault="00D7518B" w:rsidP="00D7518B">
      <w:pPr>
        <w:spacing w:line="240" w:lineRule="auto"/>
        <w:jc w:val="center"/>
        <w:rPr>
          <w:sz w:val="28"/>
          <w:szCs w:val="28"/>
        </w:rPr>
      </w:pPr>
      <w:r>
        <w:rPr>
          <w:b/>
          <w:bCs/>
          <w:sz w:val="28"/>
          <w:szCs w:val="28"/>
        </w:rPr>
        <w:t xml:space="preserve">Lesson </w:t>
      </w:r>
      <w:r w:rsidR="00A13226">
        <w:rPr>
          <w:b/>
          <w:bCs/>
          <w:sz w:val="28"/>
          <w:szCs w:val="28"/>
        </w:rPr>
        <w:t xml:space="preserve">4 and 5 </w:t>
      </w:r>
      <w:r>
        <w:rPr>
          <w:b/>
          <w:bCs/>
          <w:sz w:val="28"/>
          <w:szCs w:val="28"/>
        </w:rPr>
        <w:t>– Women of the War</w:t>
      </w:r>
    </w:p>
    <w:tbl>
      <w:tblPr>
        <w:tblW w:w="10868" w:type="dxa"/>
        <w:tblCellSpacing w:w="0"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3"/>
        <w:gridCol w:w="2995"/>
      </w:tblGrid>
      <w:tr w:rsidR="00D7518B" w:rsidRPr="00880BE1" w:rsidTr="00CC68F2">
        <w:trPr>
          <w:tblCellSpacing w:w="0" w:type="dxa"/>
        </w:trPr>
        <w:tc>
          <w:tcPr>
            <w:tcW w:w="10868" w:type="dxa"/>
            <w:gridSpan w:val="2"/>
          </w:tcPr>
          <w:p w:rsidR="00D7518B" w:rsidRPr="00880BE1" w:rsidRDefault="00D7518B" w:rsidP="00CC68F2">
            <w:pPr>
              <w:spacing w:after="0" w:line="240" w:lineRule="auto"/>
            </w:pPr>
            <w:bookmarkStart w:id="0" w:name="table06"/>
            <w:bookmarkEnd w:id="0"/>
          </w:p>
          <w:p w:rsidR="00D7518B" w:rsidRPr="00880BE1" w:rsidRDefault="00D7518B" w:rsidP="00CC68F2">
            <w:pPr>
              <w:spacing w:after="0" w:line="240" w:lineRule="auto"/>
            </w:pPr>
            <w:r>
              <w:rPr>
                <w:b/>
                <w:bCs/>
              </w:rPr>
              <w:t xml:space="preserve">Lesson Topic:  </w:t>
            </w:r>
            <w:r>
              <w:rPr>
                <w:bCs/>
              </w:rPr>
              <w:t xml:space="preserve">Women of the war.                                                   </w:t>
            </w:r>
            <w:r>
              <w:rPr>
                <w:b/>
                <w:bCs/>
              </w:rPr>
              <w:t xml:space="preserve">Unit Topic:  </w:t>
            </w:r>
            <w:r>
              <w:rPr>
                <w:bCs/>
              </w:rPr>
              <w:t>WWI</w:t>
            </w:r>
            <w:r w:rsidRPr="00880BE1">
              <w:br/>
              <w:t> </w:t>
            </w:r>
          </w:p>
          <w:p w:rsidR="00D7518B" w:rsidRPr="00880BE1" w:rsidRDefault="00D7518B" w:rsidP="00A13226">
            <w:pPr>
              <w:spacing w:after="0" w:line="240" w:lineRule="auto"/>
            </w:pPr>
            <w:r>
              <w:rPr>
                <w:b/>
                <w:bCs/>
              </w:rPr>
              <w:t xml:space="preserve">Year Level:  </w:t>
            </w:r>
            <w:r>
              <w:rPr>
                <w:bCs/>
              </w:rPr>
              <w:t xml:space="preserve">9                                                    </w:t>
            </w:r>
            <w:r>
              <w:rPr>
                <w:b/>
                <w:bCs/>
              </w:rPr>
              <w:t xml:space="preserve">                                    Lesson Duration: </w:t>
            </w:r>
            <w:r w:rsidR="00A13226">
              <w:rPr>
                <w:bCs/>
              </w:rPr>
              <w:t xml:space="preserve">Both lessons 60 minutes. </w:t>
            </w:r>
          </w:p>
        </w:tc>
      </w:tr>
      <w:tr w:rsidR="00D7518B" w:rsidRPr="00880BE1" w:rsidTr="00CC68F2">
        <w:trPr>
          <w:trHeight w:val="3240"/>
          <w:tblCellSpacing w:w="0" w:type="dxa"/>
        </w:trPr>
        <w:tc>
          <w:tcPr>
            <w:tcW w:w="10868" w:type="dxa"/>
            <w:gridSpan w:val="2"/>
          </w:tcPr>
          <w:p w:rsidR="00D7518B" w:rsidRPr="00880BE1" w:rsidRDefault="00D7518B" w:rsidP="00CC68F2">
            <w:pPr>
              <w:spacing w:after="0" w:line="240" w:lineRule="auto"/>
            </w:pPr>
          </w:p>
          <w:tbl>
            <w:tblPr>
              <w:tblW w:w="10080" w:type="dxa"/>
              <w:tblCellSpacing w:w="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0"/>
              <w:gridCol w:w="3289"/>
              <w:gridCol w:w="3731"/>
            </w:tblGrid>
            <w:tr w:rsidR="00D7518B" w:rsidRPr="00880BE1" w:rsidTr="00CC68F2">
              <w:trPr>
                <w:trHeight w:val="600"/>
                <w:tblCellSpacing w:w="0" w:type="dxa"/>
              </w:trPr>
              <w:tc>
                <w:tcPr>
                  <w:tcW w:w="3060" w:type="dxa"/>
                </w:tcPr>
                <w:p w:rsidR="00D7518B" w:rsidRPr="00880BE1" w:rsidRDefault="00D7518B" w:rsidP="00CC68F2">
                  <w:pPr>
                    <w:spacing w:after="0" w:line="240" w:lineRule="auto"/>
                  </w:pPr>
                  <w:proofErr w:type="spellStart"/>
                  <w:r>
                    <w:rPr>
                      <w:b/>
                      <w:bCs/>
                    </w:rPr>
                    <w:t>Aus</w:t>
                  </w:r>
                  <w:r w:rsidRPr="00880BE1">
                    <w:rPr>
                      <w:b/>
                      <w:bCs/>
                    </w:rPr>
                    <w:t>VELS</w:t>
                  </w:r>
                  <w:proofErr w:type="spellEnd"/>
                  <w:r w:rsidRPr="00880BE1">
                    <w:t> </w:t>
                  </w:r>
                </w:p>
              </w:tc>
              <w:tc>
                <w:tcPr>
                  <w:tcW w:w="3289" w:type="dxa"/>
                </w:tcPr>
                <w:p w:rsidR="00D7518B" w:rsidRDefault="00D7518B" w:rsidP="00CC68F2">
                  <w:pPr>
                    <w:spacing w:after="0" w:line="240" w:lineRule="auto"/>
                    <w:ind w:firstLine="90"/>
                    <w:rPr>
                      <w:b/>
                      <w:bCs/>
                      <w:lang w:eastAsia="zh-CN"/>
                    </w:rPr>
                  </w:pPr>
                  <w:r w:rsidRPr="00880BE1">
                    <w:rPr>
                      <w:b/>
                      <w:bCs/>
                    </w:rPr>
                    <w:t xml:space="preserve">Specific Lesson Outcomes for </w:t>
                  </w:r>
                </w:p>
                <w:p w:rsidR="00D7518B" w:rsidRPr="00880BE1" w:rsidRDefault="00D7518B" w:rsidP="00CC68F2">
                  <w:pPr>
                    <w:spacing w:after="0" w:line="240" w:lineRule="auto"/>
                    <w:ind w:firstLine="90"/>
                  </w:pPr>
                  <w:r w:rsidRPr="00880BE1">
                    <w:rPr>
                      <w:b/>
                      <w:bCs/>
                    </w:rPr>
                    <w:t>the students</w:t>
                  </w:r>
                </w:p>
              </w:tc>
              <w:tc>
                <w:tcPr>
                  <w:tcW w:w="3731" w:type="dxa"/>
                </w:tcPr>
                <w:p w:rsidR="00D7518B" w:rsidRPr="00880BE1" w:rsidRDefault="00D7518B" w:rsidP="00CC68F2">
                  <w:pPr>
                    <w:spacing w:after="0" w:line="240" w:lineRule="auto"/>
                  </w:pPr>
                  <w:r>
                    <w:rPr>
                      <w:rFonts w:hint="eastAsia"/>
                      <w:b/>
                      <w:bCs/>
                      <w:lang w:eastAsia="zh-CN"/>
                    </w:rPr>
                    <w:t xml:space="preserve">  </w:t>
                  </w:r>
                  <w:r w:rsidRPr="00880BE1">
                    <w:rPr>
                      <w:b/>
                      <w:bCs/>
                    </w:rPr>
                    <w:t xml:space="preserve">How will I determine if outcomes </w:t>
                  </w:r>
                  <w:r>
                    <w:rPr>
                      <w:rFonts w:hint="eastAsia"/>
                      <w:b/>
                      <w:bCs/>
                      <w:lang w:eastAsia="zh-CN"/>
                    </w:rPr>
                    <w:t xml:space="preserve">  </w:t>
                  </w:r>
                  <w:r w:rsidRPr="00880BE1">
                    <w:rPr>
                      <w:b/>
                      <w:bCs/>
                    </w:rPr>
                    <w:t>have been met</w:t>
                  </w:r>
                </w:p>
              </w:tc>
            </w:tr>
            <w:tr w:rsidR="00D7518B" w:rsidRPr="00880BE1" w:rsidTr="00CC68F2">
              <w:trPr>
                <w:tblCellSpacing w:w="0" w:type="dxa"/>
              </w:trPr>
              <w:tc>
                <w:tcPr>
                  <w:tcW w:w="3060" w:type="dxa"/>
                </w:tcPr>
                <w:p w:rsidR="00D7518B" w:rsidRPr="000E4002" w:rsidRDefault="00D7518B" w:rsidP="00D7518B">
                  <w:pPr>
                    <w:rPr>
                      <w:rFonts w:asciiTheme="minorHAnsi" w:hAnsiTheme="minorHAnsi" w:cstheme="minorHAnsi"/>
                    </w:rPr>
                  </w:pPr>
                  <w:r>
                    <w:rPr>
                      <w:rFonts w:asciiTheme="minorHAnsi" w:hAnsiTheme="minorHAnsi" w:cstheme="minorHAnsi"/>
                    </w:rPr>
                    <w:t xml:space="preserve">The impact of World War I, with a particular emphasis on Australia (such as the use of propaganda to influence the civilian population, the changing role of women, the conscription debate) </w:t>
                  </w:r>
                  <w:hyperlink r:id="rId5" w:tooltip="View elaborations and additional details of ACDSEH096" w:history="1">
                    <w:r>
                      <w:rPr>
                        <w:rStyle w:val="Hyperlink"/>
                        <w:rFonts w:asciiTheme="minorHAnsi" w:hAnsiTheme="minorHAnsi" w:cstheme="minorHAnsi"/>
                        <w:color w:val="auto"/>
                        <w:sz w:val="22"/>
                        <w:szCs w:val="22"/>
                      </w:rPr>
                      <w:t>(ACDSEH096)</w:t>
                    </w:r>
                  </w:hyperlink>
                </w:p>
              </w:tc>
              <w:tc>
                <w:tcPr>
                  <w:tcW w:w="3289" w:type="dxa"/>
                </w:tcPr>
                <w:p w:rsidR="00D7518B" w:rsidRPr="00880BE1" w:rsidRDefault="00D7518B" w:rsidP="00CC68F2">
                  <w:pPr>
                    <w:spacing w:after="0" w:line="240" w:lineRule="auto"/>
                  </w:pPr>
                  <w:r>
                    <w:rPr>
                      <w:rFonts w:asciiTheme="minorHAnsi" w:hAnsiTheme="minorHAnsi" w:cstheme="minorHAnsi"/>
                    </w:rPr>
                    <w:t>To gain an understanding of the role of women during World War I and compare it to the role of women in the army today.</w:t>
                  </w:r>
                  <w:r>
                    <w:rPr>
                      <w:rFonts w:asciiTheme="minorHAnsi" w:hAnsiTheme="minorHAnsi" w:cstheme="minorHAnsi"/>
                    </w:rPr>
                    <w:br/>
                  </w:r>
                </w:p>
              </w:tc>
              <w:tc>
                <w:tcPr>
                  <w:tcW w:w="3731" w:type="dxa"/>
                </w:tcPr>
                <w:p w:rsidR="00D7518B" w:rsidRPr="00880BE1" w:rsidRDefault="00D7518B" w:rsidP="00CC68F2">
                  <w:pPr>
                    <w:spacing w:after="0" w:line="240" w:lineRule="auto"/>
                  </w:pPr>
                  <w:r>
                    <w:t xml:space="preserve">Students are engaged and actively discussing comparisons. </w:t>
                  </w:r>
                </w:p>
              </w:tc>
            </w:tr>
            <w:tr w:rsidR="00D7518B" w:rsidRPr="00880BE1" w:rsidTr="00CC68F2">
              <w:trPr>
                <w:tblCellSpacing w:w="0" w:type="dxa"/>
              </w:trPr>
              <w:tc>
                <w:tcPr>
                  <w:tcW w:w="3060" w:type="dxa"/>
                </w:tcPr>
                <w:p w:rsidR="00D7518B" w:rsidRPr="000E4002" w:rsidRDefault="00D7518B" w:rsidP="00D7518B">
                  <w:pPr>
                    <w:rPr>
                      <w:rFonts w:asciiTheme="minorHAnsi" w:hAnsiTheme="minorHAnsi" w:cstheme="minorHAnsi"/>
                    </w:rPr>
                  </w:pPr>
                  <w:r w:rsidRPr="00880BE1">
                    <w:t> </w:t>
                  </w:r>
                  <w:r>
                    <w:rPr>
                      <w:rFonts w:asciiTheme="minorHAnsi" w:hAnsiTheme="minorHAnsi" w:cstheme="minorHAnsi"/>
                    </w:rPr>
                    <w:t xml:space="preserve">Develop texts, particularly descriptions and discussions that use </w:t>
                  </w:r>
                  <w:r>
                    <w:rPr>
                      <w:rStyle w:val="glink1"/>
                      <w:rFonts w:asciiTheme="minorHAnsi" w:hAnsiTheme="minorHAnsi" w:cstheme="minorHAnsi"/>
                    </w:rPr>
                    <w:t>evidence</w:t>
                  </w:r>
                  <w:r>
                    <w:rPr>
                      <w:rFonts w:asciiTheme="minorHAnsi" w:hAnsiTheme="minorHAnsi" w:cstheme="minorHAnsi"/>
                    </w:rPr>
                    <w:t xml:space="preserve"> from a range of sources that are referenced </w:t>
                  </w:r>
                  <w:hyperlink r:id="rId6" w:tooltip="View elaborations and additional details of ACHHS174" w:history="1">
                    <w:r>
                      <w:rPr>
                        <w:rStyle w:val="Hyperlink"/>
                        <w:rFonts w:asciiTheme="minorHAnsi" w:hAnsiTheme="minorHAnsi" w:cstheme="minorHAnsi"/>
                        <w:color w:val="auto"/>
                        <w:sz w:val="22"/>
                        <w:szCs w:val="22"/>
                      </w:rPr>
                      <w:t>(ACHHS174)</w:t>
                    </w:r>
                  </w:hyperlink>
                </w:p>
              </w:tc>
              <w:tc>
                <w:tcPr>
                  <w:tcW w:w="3289" w:type="dxa"/>
                </w:tcPr>
                <w:p w:rsidR="00D7518B" w:rsidRPr="00880BE1" w:rsidRDefault="00D7518B" w:rsidP="00CC68F2">
                  <w:r>
                    <w:t xml:space="preserve">To understand the gendered nature of war. </w:t>
                  </w:r>
                </w:p>
              </w:tc>
              <w:tc>
                <w:tcPr>
                  <w:tcW w:w="3731" w:type="dxa"/>
                </w:tcPr>
                <w:p w:rsidR="00D7518B" w:rsidRPr="00880BE1" w:rsidRDefault="00D7518B" w:rsidP="00CC68F2">
                  <w:pPr>
                    <w:spacing w:after="0" w:line="240" w:lineRule="auto"/>
                  </w:pPr>
                  <w:r>
                    <w:t xml:space="preserve">Students are reading silently and completing their writing task. </w:t>
                  </w:r>
                </w:p>
              </w:tc>
            </w:tr>
            <w:tr w:rsidR="00D7518B" w:rsidRPr="00880BE1" w:rsidTr="00CC68F2">
              <w:trPr>
                <w:tblCellSpacing w:w="0" w:type="dxa"/>
              </w:trPr>
              <w:tc>
                <w:tcPr>
                  <w:tcW w:w="3060" w:type="dxa"/>
                </w:tcPr>
                <w:p w:rsidR="00D7518B" w:rsidRPr="000E4002" w:rsidRDefault="00D7518B" w:rsidP="00CC68F2">
                  <w:pPr>
                    <w:rPr>
                      <w:rFonts w:asciiTheme="minorHAnsi" w:hAnsiTheme="minorHAnsi" w:cstheme="minorHAnsi"/>
                    </w:rPr>
                  </w:pPr>
                  <w:r w:rsidRPr="000E4002">
                    <w:rPr>
                      <w:rFonts w:asciiTheme="minorHAnsi" w:hAnsiTheme="minorHAnsi" w:cstheme="minorHAnsi"/>
                    </w:rPr>
                    <w:t xml:space="preserve">Identify and analyse different historical interpretations (including their own) </w:t>
                  </w:r>
                  <w:hyperlink r:id="rId7" w:tooltip="View elaborations and additional details of ACHHS173" w:history="1">
                    <w:r w:rsidRPr="000E4002">
                      <w:rPr>
                        <w:rStyle w:val="Hyperlink"/>
                        <w:rFonts w:asciiTheme="minorHAnsi" w:hAnsiTheme="minorHAnsi" w:cstheme="minorHAnsi"/>
                        <w:color w:val="auto"/>
                        <w:sz w:val="22"/>
                        <w:szCs w:val="22"/>
                      </w:rPr>
                      <w:t>(ACHHS173)</w:t>
                    </w:r>
                  </w:hyperlink>
                </w:p>
              </w:tc>
              <w:tc>
                <w:tcPr>
                  <w:tcW w:w="3289" w:type="dxa"/>
                </w:tcPr>
                <w:p w:rsidR="00D7518B" w:rsidRPr="00880BE1" w:rsidRDefault="00D7518B" w:rsidP="00CC68F2">
                  <w:pPr>
                    <w:spacing w:after="0" w:line="240" w:lineRule="auto"/>
                  </w:pPr>
                  <w:r>
                    <w:t xml:space="preserve">To gain an insight about what life was like for women. </w:t>
                  </w:r>
                </w:p>
              </w:tc>
              <w:tc>
                <w:tcPr>
                  <w:tcW w:w="3731" w:type="dxa"/>
                </w:tcPr>
                <w:p w:rsidR="00D7518B" w:rsidRPr="00880BE1" w:rsidRDefault="00D7518B" w:rsidP="00D7518B">
                  <w:pPr>
                    <w:spacing w:after="0" w:line="240" w:lineRule="auto"/>
                  </w:pPr>
                  <w:r w:rsidRPr="00880BE1">
                    <w:t> </w:t>
                  </w:r>
                  <w:r>
                    <w:rPr>
                      <w:rFonts w:asciiTheme="minorHAnsi" w:hAnsiTheme="minorHAnsi" w:cstheme="minorHAnsi"/>
                    </w:rPr>
                    <w:t xml:space="preserve"> </w:t>
                  </w:r>
                </w:p>
              </w:tc>
            </w:tr>
          </w:tbl>
          <w:p w:rsidR="00D7518B" w:rsidRPr="00880BE1" w:rsidRDefault="00D7518B" w:rsidP="00CC68F2">
            <w:pPr>
              <w:spacing w:after="0" w:line="240" w:lineRule="auto"/>
              <w:rPr>
                <w:lang w:eastAsia="zh-CN"/>
              </w:rPr>
            </w:pPr>
            <w:r>
              <w:t> </w:t>
            </w:r>
          </w:p>
        </w:tc>
      </w:tr>
      <w:tr w:rsidR="00D7518B" w:rsidRPr="00880BE1" w:rsidTr="00CC68F2">
        <w:trPr>
          <w:trHeight w:val="840"/>
          <w:tblCellSpacing w:w="0" w:type="dxa"/>
        </w:trPr>
        <w:tc>
          <w:tcPr>
            <w:tcW w:w="7873" w:type="dxa"/>
          </w:tcPr>
          <w:p w:rsidR="00D7518B" w:rsidRDefault="00D7518B" w:rsidP="00CC68F2">
            <w:pPr>
              <w:spacing w:after="0" w:line="240" w:lineRule="auto"/>
              <w:rPr>
                <w:rFonts w:asciiTheme="minorHAnsi" w:hAnsiTheme="minorHAnsi" w:cstheme="minorHAnsi"/>
              </w:rPr>
            </w:pPr>
            <w:r w:rsidRPr="00880BE1">
              <w:rPr>
                <w:b/>
                <w:bCs/>
              </w:rPr>
              <w:t>INTRODUCTION</w:t>
            </w:r>
            <w:r>
              <w:t> </w:t>
            </w:r>
            <w:r>
              <w:br/>
              <w:t> </w:t>
            </w:r>
            <w:r>
              <w:br/>
            </w:r>
            <w:r>
              <w:rPr>
                <w:rFonts w:asciiTheme="minorHAnsi" w:hAnsiTheme="minorHAnsi" w:cstheme="minorHAnsi"/>
              </w:rPr>
              <w:t xml:space="preserve">Welcome students and mark role. </w:t>
            </w:r>
          </w:p>
          <w:p w:rsidR="00D7518B" w:rsidRDefault="00D7518B" w:rsidP="00CC68F2">
            <w:pPr>
              <w:spacing w:after="0" w:line="240" w:lineRule="auto"/>
              <w:rPr>
                <w:rFonts w:asciiTheme="minorHAnsi" w:hAnsiTheme="minorHAnsi" w:cstheme="minorHAnsi"/>
              </w:rPr>
            </w:pPr>
            <w:r>
              <w:rPr>
                <w:rFonts w:asciiTheme="minorHAnsi" w:hAnsiTheme="minorHAnsi" w:cstheme="minorHAnsi"/>
              </w:rPr>
              <w:br/>
              <w:t>Check homework and discuss the answers, give students positive feedback about their answers and discuss what they have learnt.</w:t>
            </w:r>
          </w:p>
          <w:p w:rsidR="00D7518B" w:rsidRPr="00880BE1" w:rsidRDefault="00D7518B" w:rsidP="00D7518B">
            <w:pPr>
              <w:spacing w:after="0" w:line="240" w:lineRule="auto"/>
            </w:pPr>
            <w:r>
              <w:rPr>
                <w:rFonts w:asciiTheme="minorHAnsi" w:hAnsiTheme="minorHAnsi" w:cstheme="minorHAnsi"/>
              </w:rPr>
              <w:br/>
            </w:r>
            <w:r w:rsidRPr="00880BE1">
              <w:br/>
              <w:t> </w:t>
            </w:r>
            <w:r w:rsidRPr="00880BE1">
              <w:br/>
              <w:t> </w:t>
            </w:r>
          </w:p>
        </w:tc>
        <w:tc>
          <w:tcPr>
            <w:tcW w:w="2995" w:type="dxa"/>
          </w:tcPr>
          <w:p w:rsidR="00D7518B" w:rsidRPr="00BE1F91" w:rsidRDefault="00D7518B" w:rsidP="00CC68F2">
            <w:pPr>
              <w:spacing w:after="0" w:line="240" w:lineRule="auto"/>
              <w:rPr>
                <w:b/>
              </w:rPr>
            </w:pPr>
            <w:r w:rsidRPr="00BE1F91">
              <w:rPr>
                <w:b/>
              </w:rPr>
              <w:t xml:space="preserve">Key questions </w:t>
            </w:r>
          </w:p>
          <w:p w:rsidR="00D7518B" w:rsidRPr="00BE1F91" w:rsidRDefault="00D7518B" w:rsidP="00CC68F2">
            <w:pPr>
              <w:spacing w:after="0" w:line="240" w:lineRule="auto"/>
              <w:rPr>
                <w:b/>
              </w:rPr>
            </w:pPr>
            <w:r w:rsidRPr="00BE1F91">
              <w:rPr>
                <w:b/>
              </w:rPr>
              <w:t>Key organisational/</w:t>
            </w:r>
          </w:p>
          <w:p w:rsidR="00D7518B" w:rsidRDefault="00D7518B" w:rsidP="00CC68F2">
            <w:pPr>
              <w:spacing w:after="0" w:line="240" w:lineRule="auto"/>
              <w:rPr>
                <w:b/>
              </w:rPr>
            </w:pPr>
            <w:r w:rsidRPr="00BE1F91">
              <w:rPr>
                <w:b/>
              </w:rPr>
              <w:t>management issues</w:t>
            </w:r>
          </w:p>
          <w:p w:rsidR="00D7518B" w:rsidRDefault="00D7518B" w:rsidP="00CC68F2">
            <w:pPr>
              <w:spacing w:after="0" w:line="240" w:lineRule="auto"/>
              <w:rPr>
                <w:b/>
              </w:rPr>
            </w:pPr>
          </w:p>
          <w:p w:rsidR="00D7518B" w:rsidRDefault="00D7518B" w:rsidP="00CC68F2">
            <w:pPr>
              <w:spacing w:after="0" w:line="240" w:lineRule="auto"/>
            </w:pPr>
            <w:r w:rsidRPr="000E4002">
              <w:t xml:space="preserve">Students who have not completed the required homework are to jot down answers as we go through them as a class. </w:t>
            </w:r>
          </w:p>
          <w:p w:rsidR="00D7518B" w:rsidRDefault="00D7518B" w:rsidP="00CC68F2">
            <w:pPr>
              <w:spacing w:after="0" w:line="240" w:lineRule="auto"/>
            </w:pPr>
          </w:p>
          <w:p w:rsidR="00D7518B" w:rsidRPr="000E4002" w:rsidRDefault="00D7518B" w:rsidP="00CC68F2">
            <w:pPr>
              <w:spacing w:after="0" w:line="240" w:lineRule="auto"/>
            </w:pPr>
          </w:p>
        </w:tc>
      </w:tr>
      <w:tr w:rsidR="00D7518B" w:rsidRPr="00880BE1" w:rsidTr="00CC68F2">
        <w:trPr>
          <w:tblCellSpacing w:w="0" w:type="dxa"/>
        </w:trPr>
        <w:tc>
          <w:tcPr>
            <w:tcW w:w="7873" w:type="dxa"/>
          </w:tcPr>
          <w:p w:rsidR="00D7518B" w:rsidRDefault="00D7518B" w:rsidP="00CC68F2">
            <w:pPr>
              <w:spacing w:after="0" w:line="240" w:lineRule="auto"/>
            </w:pPr>
            <w:r w:rsidRPr="00880BE1">
              <w:rPr>
                <w:b/>
                <w:bCs/>
              </w:rPr>
              <w:t>PROCEDURE</w:t>
            </w:r>
            <w:r w:rsidRPr="00880BE1">
              <w:t xml:space="preserve"> </w:t>
            </w:r>
          </w:p>
          <w:p w:rsidR="00D7518B" w:rsidRDefault="00D7518B" w:rsidP="00CC68F2">
            <w:pPr>
              <w:spacing w:after="0" w:line="240" w:lineRule="auto"/>
            </w:pPr>
          </w:p>
          <w:p w:rsidR="00D7518B" w:rsidRDefault="00D7518B" w:rsidP="00D7518B">
            <w:pPr>
              <w:spacing w:after="0" w:line="240" w:lineRule="auto"/>
              <w:rPr>
                <w:rFonts w:asciiTheme="minorHAnsi" w:hAnsiTheme="minorHAnsi" w:cstheme="minorHAnsi"/>
              </w:rPr>
            </w:pPr>
            <w:r>
              <w:rPr>
                <w:rFonts w:asciiTheme="minorHAnsi" w:hAnsiTheme="minorHAnsi" w:cstheme="minorHAnsi"/>
              </w:rPr>
              <w:t xml:space="preserve">Compare images of nurses in World War I and nurses in the army today. Class discussion about what the uniform can tell us about their roles. Write up a comparison on the board –students to copy this down. </w:t>
            </w:r>
            <w:r>
              <w:rPr>
                <w:rFonts w:asciiTheme="minorHAnsi" w:hAnsiTheme="minorHAnsi" w:cstheme="minorHAnsi"/>
              </w:rPr>
              <w:br/>
            </w:r>
            <w:r>
              <w:rPr>
                <w:rFonts w:asciiTheme="minorHAnsi" w:hAnsiTheme="minorHAnsi" w:cstheme="minorHAnsi"/>
              </w:rPr>
              <w:br/>
              <w:t xml:space="preserve">Begin reading chapter as a class and explain that their writing task is to complete an exegesis of the chapter, outlining what the chapter is about. They need to read critically and establish some links to prior knowledge. </w:t>
            </w:r>
          </w:p>
          <w:p w:rsidR="00D7518B" w:rsidRPr="00880BE1" w:rsidRDefault="00D7518B" w:rsidP="00D7518B">
            <w:pPr>
              <w:spacing w:after="0" w:line="240" w:lineRule="auto"/>
            </w:pPr>
          </w:p>
        </w:tc>
        <w:tc>
          <w:tcPr>
            <w:tcW w:w="2995" w:type="dxa"/>
          </w:tcPr>
          <w:p w:rsidR="00D7518B" w:rsidRPr="00BE1F91" w:rsidRDefault="00D7518B" w:rsidP="00CC68F2">
            <w:pPr>
              <w:spacing w:after="0" w:line="240" w:lineRule="auto"/>
              <w:rPr>
                <w:b/>
              </w:rPr>
            </w:pPr>
            <w:r w:rsidRPr="00BE1F91">
              <w:rPr>
                <w:b/>
              </w:rPr>
              <w:lastRenderedPageBreak/>
              <w:t xml:space="preserve">Key questions </w:t>
            </w:r>
          </w:p>
          <w:p w:rsidR="00D7518B" w:rsidRPr="00BE1F91" w:rsidRDefault="00D7518B" w:rsidP="00CC68F2">
            <w:pPr>
              <w:spacing w:after="0" w:line="240" w:lineRule="auto"/>
              <w:rPr>
                <w:b/>
              </w:rPr>
            </w:pPr>
            <w:r w:rsidRPr="00BE1F91">
              <w:rPr>
                <w:b/>
              </w:rPr>
              <w:t>Key organisational/</w:t>
            </w:r>
          </w:p>
          <w:p w:rsidR="00D7518B" w:rsidRDefault="00D7518B" w:rsidP="00CC68F2">
            <w:pPr>
              <w:spacing w:after="0" w:line="240" w:lineRule="auto"/>
              <w:rPr>
                <w:b/>
              </w:rPr>
            </w:pPr>
            <w:r w:rsidRPr="00BE1F91">
              <w:rPr>
                <w:b/>
              </w:rPr>
              <w:t>management issues</w:t>
            </w:r>
          </w:p>
          <w:p w:rsidR="00D7518B" w:rsidRDefault="00D7518B" w:rsidP="00CC68F2">
            <w:pPr>
              <w:spacing w:after="0" w:line="240" w:lineRule="auto"/>
              <w:rPr>
                <w:b/>
              </w:rPr>
            </w:pPr>
          </w:p>
          <w:p w:rsidR="00D7518B" w:rsidRPr="000E4002" w:rsidRDefault="00D7518B" w:rsidP="00CC68F2">
            <w:pPr>
              <w:spacing w:after="0" w:line="240" w:lineRule="auto"/>
            </w:pPr>
          </w:p>
          <w:p w:rsidR="00D7518B" w:rsidRPr="00C65200" w:rsidRDefault="00D7518B" w:rsidP="00D7518B">
            <w:pPr>
              <w:spacing w:after="0" w:line="240" w:lineRule="auto"/>
            </w:pPr>
            <w:r>
              <w:t xml:space="preserve">This is quite a difficult task and students are to pay attention and read the chapter comprehensively. </w:t>
            </w:r>
          </w:p>
        </w:tc>
      </w:tr>
      <w:tr w:rsidR="00D7518B" w:rsidRPr="00880BE1" w:rsidTr="00CC68F2">
        <w:trPr>
          <w:tblCellSpacing w:w="0" w:type="dxa"/>
        </w:trPr>
        <w:tc>
          <w:tcPr>
            <w:tcW w:w="7873" w:type="dxa"/>
          </w:tcPr>
          <w:p w:rsidR="00D7518B" w:rsidRDefault="00D7518B" w:rsidP="00CC68F2">
            <w:pPr>
              <w:spacing w:after="0" w:line="240" w:lineRule="auto"/>
              <w:rPr>
                <w:rFonts w:asciiTheme="minorHAnsi" w:hAnsiTheme="minorHAnsi" w:cstheme="minorHAnsi"/>
              </w:rPr>
            </w:pPr>
            <w:r w:rsidRPr="00880BE1">
              <w:rPr>
                <w:b/>
                <w:bCs/>
              </w:rPr>
              <w:lastRenderedPageBreak/>
              <w:t>CLOSURE</w:t>
            </w:r>
            <w:r w:rsidRPr="00880BE1">
              <w:t> </w:t>
            </w:r>
            <w:r w:rsidRPr="00880BE1">
              <w:br/>
              <w:t> </w:t>
            </w:r>
            <w:r w:rsidRPr="00880BE1">
              <w:br/>
            </w:r>
            <w:r>
              <w:rPr>
                <w:rFonts w:asciiTheme="minorHAnsi" w:hAnsiTheme="minorHAnsi" w:cstheme="minorHAnsi"/>
              </w:rPr>
              <w:t xml:space="preserve">Quick briefing of what was learnt during the lesson and ask students what they have learnt. </w:t>
            </w:r>
          </w:p>
          <w:p w:rsidR="00D7518B" w:rsidRPr="00880BE1" w:rsidRDefault="00D7518B" w:rsidP="00FE6E43">
            <w:pPr>
              <w:spacing w:after="0" w:line="240" w:lineRule="auto"/>
            </w:pPr>
            <w:r>
              <w:rPr>
                <w:rFonts w:asciiTheme="minorHAnsi" w:hAnsiTheme="minorHAnsi" w:cstheme="minorHAnsi"/>
              </w:rPr>
              <w:br/>
            </w:r>
            <w:r>
              <w:br/>
              <w:t> </w:t>
            </w:r>
            <w:r w:rsidRPr="00880BE1">
              <w:br/>
              <w:t> </w:t>
            </w:r>
          </w:p>
        </w:tc>
        <w:tc>
          <w:tcPr>
            <w:tcW w:w="2995" w:type="dxa"/>
          </w:tcPr>
          <w:p w:rsidR="00D7518B" w:rsidRPr="00BE1F91" w:rsidRDefault="00D7518B" w:rsidP="00CC68F2">
            <w:pPr>
              <w:spacing w:after="0" w:line="240" w:lineRule="auto"/>
              <w:rPr>
                <w:b/>
              </w:rPr>
            </w:pPr>
            <w:r w:rsidRPr="00BE1F91">
              <w:rPr>
                <w:b/>
              </w:rPr>
              <w:t xml:space="preserve">Key questions </w:t>
            </w:r>
          </w:p>
          <w:p w:rsidR="00D7518B" w:rsidRPr="00BE1F91" w:rsidRDefault="00D7518B" w:rsidP="00CC68F2">
            <w:pPr>
              <w:spacing w:after="0" w:line="240" w:lineRule="auto"/>
              <w:rPr>
                <w:b/>
              </w:rPr>
            </w:pPr>
            <w:r w:rsidRPr="00BE1F91">
              <w:rPr>
                <w:b/>
              </w:rPr>
              <w:t>Key organisational/</w:t>
            </w:r>
          </w:p>
          <w:p w:rsidR="00D7518B" w:rsidRDefault="00D7518B" w:rsidP="00CC68F2">
            <w:pPr>
              <w:spacing w:after="0" w:line="240" w:lineRule="auto"/>
            </w:pPr>
            <w:r w:rsidRPr="00BE1F91">
              <w:rPr>
                <w:b/>
              </w:rPr>
              <w:t>management issues</w:t>
            </w:r>
            <w:r w:rsidRPr="00880BE1">
              <w:t> </w:t>
            </w:r>
          </w:p>
          <w:p w:rsidR="00D7518B" w:rsidRDefault="00D7518B" w:rsidP="00CC68F2">
            <w:pPr>
              <w:spacing w:after="0" w:line="240" w:lineRule="auto"/>
            </w:pPr>
          </w:p>
          <w:p w:rsidR="00D7518B" w:rsidRPr="00880BE1" w:rsidRDefault="00D7518B" w:rsidP="00CC68F2">
            <w:pPr>
              <w:spacing w:after="0" w:line="240" w:lineRule="auto"/>
            </w:pPr>
          </w:p>
        </w:tc>
      </w:tr>
      <w:tr w:rsidR="00D7518B" w:rsidRPr="00880BE1" w:rsidTr="00CC68F2">
        <w:trPr>
          <w:tblCellSpacing w:w="0" w:type="dxa"/>
        </w:trPr>
        <w:tc>
          <w:tcPr>
            <w:tcW w:w="10868" w:type="dxa"/>
            <w:gridSpan w:val="2"/>
          </w:tcPr>
          <w:p w:rsidR="00D7518B" w:rsidRDefault="00D7518B" w:rsidP="00CC68F2">
            <w:pPr>
              <w:spacing w:after="0" w:line="240" w:lineRule="auto"/>
              <w:rPr>
                <w:b/>
                <w:bCs/>
              </w:rPr>
            </w:pPr>
            <w:r w:rsidRPr="00880BE1">
              <w:rPr>
                <w:b/>
                <w:bCs/>
              </w:rPr>
              <w:t>R</w:t>
            </w:r>
            <w:r>
              <w:rPr>
                <w:b/>
                <w:bCs/>
              </w:rPr>
              <w:t>ESOURCES</w:t>
            </w:r>
          </w:p>
          <w:p w:rsidR="00D7518B" w:rsidRDefault="00D7518B" w:rsidP="00CC68F2">
            <w:pPr>
              <w:rPr>
                <w:rFonts w:asciiTheme="minorHAnsi" w:hAnsiTheme="minorHAnsi" w:cstheme="minorHAnsi"/>
                <w:lang w:eastAsia="zh-TW"/>
              </w:rPr>
            </w:pPr>
          </w:p>
          <w:p w:rsidR="00D7518B" w:rsidRDefault="00D7518B" w:rsidP="00CC68F2">
            <w:pPr>
              <w:spacing w:after="0" w:line="240" w:lineRule="auto"/>
              <w:rPr>
                <w:rFonts w:asciiTheme="minorHAnsi" w:hAnsiTheme="minorHAnsi" w:cstheme="minorHAnsi"/>
                <w:lang w:eastAsia="zh-TW"/>
              </w:rPr>
            </w:pPr>
            <w:r>
              <w:rPr>
                <w:rFonts w:asciiTheme="minorHAnsi" w:hAnsiTheme="minorHAnsi" w:cstheme="minorHAnsi"/>
                <w:lang w:eastAsia="zh-TW"/>
              </w:rPr>
              <w:t xml:space="preserve">Two images – one of a World War I nurse and one of a nurse in the army today. </w:t>
            </w:r>
          </w:p>
          <w:p w:rsidR="00D7518B" w:rsidRDefault="00D7518B" w:rsidP="00CC68F2">
            <w:pPr>
              <w:spacing w:after="0" w:line="240" w:lineRule="auto"/>
              <w:rPr>
                <w:rFonts w:asciiTheme="minorHAnsi" w:hAnsiTheme="minorHAnsi" w:cstheme="minorHAnsi"/>
                <w:lang w:eastAsia="zh-TW"/>
              </w:rPr>
            </w:pPr>
          </w:p>
          <w:p w:rsidR="00D7518B" w:rsidRPr="00880BE1" w:rsidRDefault="00D7518B" w:rsidP="00CC68F2">
            <w:pPr>
              <w:spacing w:after="0" w:line="240" w:lineRule="auto"/>
            </w:pPr>
            <w:r>
              <w:rPr>
                <w:rFonts w:asciiTheme="minorHAnsi" w:hAnsiTheme="minorHAnsi" w:cstheme="minorHAnsi"/>
                <w:lang w:eastAsia="zh-TW"/>
              </w:rPr>
              <w:t xml:space="preserve">Chapter: </w:t>
            </w:r>
            <w:r>
              <w:rPr>
                <w:rFonts w:asciiTheme="minorHAnsi" w:hAnsiTheme="minorHAnsi" w:cstheme="minorHAnsi"/>
              </w:rPr>
              <w:t>Holmes, K. (1995) ‘Day mothers and night sisters: World War I nurses and sexuality.’ in</w:t>
            </w:r>
            <w:r>
              <w:rPr>
                <w:rFonts w:asciiTheme="minorHAnsi" w:hAnsiTheme="minorHAnsi" w:cstheme="minorHAnsi"/>
                <w:b/>
              </w:rPr>
              <w:t xml:space="preserve"> </w:t>
            </w:r>
            <w:r>
              <w:rPr>
                <w:rStyle w:val="Strong"/>
                <w:rFonts w:asciiTheme="minorHAnsi" w:hAnsiTheme="minorHAnsi" w:cstheme="minorHAnsi"/>
                <w:b w:val="0"/>
                <w:i/>
              </w:rPr>
              <w:t>Gender and war: Australians at war in the twentieth century</w:t>
            </w:r>
            <w:r>
              <w:rPr>
                <w:rStyle w:val="Strong"/>
                <w:rFonts w:asciiTheme="minorHAnsi" w:hAnsiTheme="minorHAnsi" w:cstheme="minorHAnsi"/>
                <w:b w:val="0"/>
              </w:rPr>
              <w:t xml:space="preserve"> edited by Joy </w:t>
            </w:r>
            <w:proofErr w:type="spellStart"/>
            <w:r>
              <w:rPr>
                <w:rStyle w:val="Strong"/>
                <w:rFonts w:asciiTheme="minorHAnsi" w:hAnsiTheme="minorHAnsi" w:cstheme="minorHAnsi"/>
                <w:b w:val="0"/>
              </w:rPr>
              <w:t>Damousi</w:t>
            </w:r>
            <w:proofErr w:type="spellEnd"/>
            <w:r>
              <w:rPr>
                <w:rStyle w:val="Strong"/>
                <w:rFonts w:asciiTheme="minorHAnsi" w:hAnsiTheme="minorHAnsi" w:cstheme="minorHAnsi"/>
                <w:b w:val="0"/>
              </w:rPr>
              <w:t xml:space="preserve"> and Marilyn Lake.</w:t>
            </w:r>
            <w:r>
              <w:rPr>
                <w:rFonts w:asciiTheme="minorHAnsi" w:hAnsiTheme="minorHAnsi" w:cstheme="minorHAnsi"/>
                <w:b/>
              </w:rPr>
              <w:t xml:space="preserve"> </w:t>
            </w:r>
            <w:r>
              <w:rPr>
                <w:rFonts w:asciiTheme="minorHAnsi" w:hAnsiTheme="minorHAnsi" w:cstheme="minorHAnsi"/>
              </w:rPr>
              <w:t xml:space="preserve">Cambridge University Press. </w:t>
            </w:r>
            <w:proofErr w:type="spellStart"/>
            <w:r>
              <w:rPr>
                <w:rFonts w:asciiTheme="minorHAnsi" w:hAnsiTheme="minorHAnsi" w:cstheme="minorHAnsi"/>
              </w:rPr>
              <w:t>pp</w:t>
            </w:r>
            <w:proofErr w:type="spellEnd"/>
            <w:r>
              <w:rPr>
                <w:rFonts w:asciiTheme="minorHAnsi" w:hAnsiTheme="minorHAnsi" w:cstheme="minorHAnsi"/>
              </w:rPr>
              <w:t xml:space="preserve"> 43-59 </w:t>
            </w:r>
            <w:r w:rsidRPr="00880BE1">
              <w:br/>
              <w:t> </w:t>
            </w:r>
            <w:r w:rsidRPr="00880BE1">
              <w:br/>
              <w:t> </w:t>
            </w:r>
          </w:p>
        </w:tc>
      </w:tr>
      <w:tr w:rsidR="00D7518B" w:rsidRPr="00880BE1" w:rsidTr="00CC68F2">
        <w:trPr>
          <w:tblCellSpacing w:w="0" w:type="dxa"/>
        </w:trPr>
        <w:tc>
          <w:tcPr>
            <w:tcW w:w="10868" w:type="dxa"/>
            <w:gridSpan w:val="2"/>
          </w:tcPr>
          <w:p w:rsidR="00D7518B" w:rsidRPr="00880BE1" w:rsidRDefault="00D7518B" w:rsidP="00D7518B">
            <w:pPr>
              <w:spacing w:after="0" w:line="240" w:lineRule="auto"/>
            </w:pPr>
            <w:r w:rsidRPr="00880BE1">
              <w:rPr>
                <w:b/>
                <w:bCs/>
              </w:rPr>
              <w:t xml:space="preserve">CRITERIA FOR ASSESSMENT OF STUDENT ACHIEVEMENT </w:t>
            </w:r>
            <w:r w:rsidRPr="00880BE1">
              <w:br/>
              <w:t> </w:t>
            </w:r>
            <w:r w:rsidRPr="00880BE1">
              <w:br/>
            </w:r>
            <w:r w:rsidR="007A639C">
              <w:t xml:space="preserve">Students are to complete exegesis for submission, if not completed it is to be handed in in the next lesson. </w:t>
            </w:r>
            <w:r w:rsidRPr="00880BE1">
              <w:br/>
              <w:t> </w:t>
            </w:r>
            <w:r w:rsidRPr="00880BE1">
              <w:br/>
              <w:t> </w:t>
            </w:r>
            <w:r w:rsidRPr="00880BE1">
              <w:br/>
              <w:t> </w:t>
            </w:r>
          </w:p>
        </w:tc>
      </w:tr>
    </w:tbl>
    <w:p w:rsidR="00D7518B" w:rsidRDefault="00D7518B" w:rsidP="00D7518B">
      <w:pPr>
        <w:spacing w:line="240" w:lineRule="auto"/>
        <w:rPr>
          <w:lang w:eastAsia="zh-CN"/>
        </w:rPr>
      </w:pPr>
      <w:r w:rsidRPr="00E00A70">
        <w:t> </w:t>
      </w:r>
    </w:p>
    <w:tbl>
      <w:tblPr>
        <w:tblStyle w:val="TableGrid"/>
        <w:tblW w:w="0" w:type="auto"/>
        <w:tblLook w:val="04A0" w:firstRow="1" w:lastRow="0" w:firstColumn="1" w:lastColumn="0" w:noHBand="0" w:noVBand="1"/>
      </w:tblPr>
      <w:tblGrid>
        <w:gridCol w:w="9242"/>
      </w:tblGrid>
      <w:tr w:rsidR="00A13226" w:rsidTr="00A13226">
        <w:tc>
          <w:tcPr>
            <w:tcW w:w="9242" w:type="dxa"/>
          </w:tcPr>
          <w:p w:rsidR="00A13226" w:rsidRDefault="00A13226">
            <w:r>
              <w:t xml:space="preserve">Lesson 5 – students will continue working on their exegesis and analysing the piece. </w:t>
            </w:r>
          </w:p>
        </w:tc>
      </w:tr>
    </w:tbl>
    <w:p w:rsidR="009241FD" w:rsidRDefault="009241FD">
      <w:bookmarkStart w:id="1" w:name="_GoBack"/>
      <w:bookmarkEnd w:id="1"/>
    </w:p>
    <w:sectPr w:rsidR="00924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8B"/>
    <w:rsid w:val="007A639C"/>
    <w:rsid w:val="009241FD"/>
    <w:rsid w:val="00A13226"/>
    <w:rsid w:val="00D7518B"/>
    <w:rsid w:val="00FE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7518B"/>
    <w:rPr>
      <w:strike w:val="0"/>
      <w:dstrike w:val="0"/>
      <w:color w:val="005D8B"/>
      <w:sz w:val="24"/>
      <w:szCs w:val="24"/>
      <w:u w:val="none"/>
      <w:effect w:val="none"/>
      <w:bdr w:val="none" w:sz="0" w:space="0" w:color="auto" w:frame="1"/>
      <w:shd w:val="clear" w:color="auto" w:fill="auto"/>
      <w:vertAlign w:val="baseline"/>
    </w:rPr>
  </w:style>
  <w:style w:type="character" w:customStyle="1" w:styleId="glink1">
    <w:name w:val="glink1"/>
    <w:basedOn w:val="DefaultParagraphFont"/>
    <w:rsid w:val="00D7518B"/>
  </w:style>
  <w:style w:type="character" w:styleId="Strong">
    <w:name w:val="Strong"/>
    <w:basedOn w:val="DefaultParagraphFont"/>
    <w:uiPriority w:val="22"/>
    <w:qFormat/>
    <w:rsid w:val="00D7518B"/>
    <w:rPr>
      <w:b/>
      <w:bCs/>
    </w:rPr>
  </w:style>
  <w:style w:type="table" w:styleId="TableGrid">
    <w:name w:val="Table Grid"/>
    <w:basedOn w:val="TableNormal"/>
    <w:uiPriority w:val="59"/>
    <w:rsid w:val="00A13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7518B"/>
    <w:rPr>
      <w:strike w:val="0"/>
      <w:dstrike w:val="0"/>
      <w:color w:val="005D8B"/>
      <w:sz w:val="24"/>
      <w:szCs w:val="24"/>
      <w:u w:val="none"/>
      <w:effect w:val="none"/>
      <w:bdr w:val="none" w:sz="0" w:space="0" w:color="auto" w:frame="1"/>
      <w:shd w:val="clear" w:color="auto" w:fill="auto"/>
      <w:vertAlign w:val="baseline"/>
    </w:rPr>
  </w:style>
  <w:style w:type="character" w:customStyle="1" w:styleId="glink1">
    <w:name w:val="glink1"/>
    <w:basedOn w:val="DefaultParagraphFont"/>
    <w:rsid w:val="00D7518B"/>
  </w:style>
  <w:style w:type="character" w:styleId="Strong">
    <w:name w:val="Strong"/>
    <w:basedOn w:val="DefaultParagraphFont"/>
    <w:uiPriority w:val="22"/>
    <w:qFormat/>
    <w:rsid w:val="00D7518B"/>
    <w:rPr>
      <w:b/>
      <w:bCs/>
    </w:rPr>
  </w:style>
  <w:style w:type="table" w:styleId="TableGrid">
    <w:name w:val="Table Grid"/>
    <w:basedOn w:val="TableNormal"/>
    <w:uiPriority w:val="59"/>
    <w:rsid w:val="00A13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svels.vcaa.vic.edu.au/Curriculum/ContentDescription/ACHHS1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svels.vcaa.vic.edu.au/Curriculum/ContentDescription/ACHHS174" TargetMode="External"/><Relationship Id="rId5" Type="http://schemas.openxmlformats.org/officeDocument/2006/relationships/hyperlink" Target="http://ausvels.vcaa.vic.edu.au/Curriculum/ContentDescription/ACDSEH0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 - ICT Services</dc:creator>
  <cp:lastModifiedBy>University of Ballarat - ICT Services</cp:lastModifiedBy>
  <cp:revision>3</cp:revision>
  <dcterms:created xsi:type="dcterms:W3CDTF">2013-06-23T17:11:00Z</dcterms:created>
  <dcterms:modified xsi:type="dcterms:W3CDTF">2013-06-24T05:32:00Z</dcterms:modified>
</cp:coreProperties>
</file>