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DB" w:rsidRPr="00BE1F91" w:rsidRDefault="00212EDB" w:rsidP="00212EDB">
      <w:pPr>
        <w:spacing w:line="240" w:lineRule="auto"/>
        <w:jc w:val="center"/>
        <w:rPr>
          <w:sz w:val="28"/>
          <w:szCs w:val="28"/>
        </w:rPr>
      </w:pPr>
      <w:r w:rsidRPr="00BE1F91">
        <w:rPr>
          <w:b/>
          <w:bCs/>
          <w:sz w:val="28"/>
          <w:szCs w:val="28"/>
        </w:rPr>
        <w:t xml:space="preserve">Lesson </w:t>
      </w:r>
      <w:r>
        <w:rPr>
          <w:b/>
          <w:bCs/>
          <w:sz w:val="28"/>
          <w:szCs w:val="28"/>
        </w:rPr>
        <w:t>6</w:t>
      </w:r>
      <w:r>
        <w:rPr>
          <w:b/>
          <w:bCs/>
          <w:sz w:val="28"/>
          <w:szCs w:val="28"/>
        </w:rPr>
        <w:t xml:space="preserve"> – What’s wrong with the Anzacs?</w:t>
      </w:r>
      <w:r>
        <w:rPr>
          <w:b/>
          <w:bCs/>
          <w:sz w:val="28"/>
          <w:szCs w:val="28"/>
        </w:rPr>
        <w:t xml:space="preserve"> Part 2</w:t>
      </w:r>
    </w:p>
    <w:tbl>
      <w:tblPr>
        <w:tblW w:w="10868" w:type="dxa"/>
        <w:tblCellSpacing w:w="0"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91"/>
        <w:gridCol w:w="3077"/>
      </w:tblGrid>
      <w:tr w:rsidR="00212EDB" w:rsidRPr="00880BE1" w:rsidTr="00C2299D">
        <w:trPr>
          <w:tblCellSpacing w:w="0" w:type="dxa"/>
        </w:trPr>
        <w:tc>
          <w:tcPr>
            <w:tcW w:w="10868" w:type="dxa"/>
            <w:gridSpan w:val="2"/>
          </w:tcPr>
          <w:p w:rsidR="00212EDB" w:rsidRPr="00880BE1" w:rsidRDefault="00212EDB" w:rsidP="00C2299D">
            <w:pPr>
              <w:spacing w:after="0" w:line="240" w:lineRule="auto"/>
            </w:pPr>
            <w:bookmarkStart w:id="0" w:name="table06"/>
            <w:bookmarkEnd w:id="0"/>
          </w:p>
          <w:p w:rsidR="00212EDB" w:rsidRPr="00880BE1" w:rsidRDefault="00212EDB" w:rsidP="00C2299D">
            <w:pPr>
              <w:spacing w:after="0" w:line="240" w:lineRule="auto"/>
            </w:pPr>
            <w:r>
              <w:rPr>
                <w:b/>
                <w:bCs/>
              </w:rPr>
              <w:t xml:space="preserve">Lesson Topic:  </w:t>
            </w:r>
            <w:r>
              <w:rPr>
                <w:bCs/>
              </w:rPr>
              <w:t>What’s wrong with the Anzacs?</w:t>
            </w:r>
            <w:r>
              <w:rPr>
                <w:bCs/>
              </w:rPr>
              <w:t xml:space="preserve"> Part 2</w:t>
            </w:r>
            <w:r>
              <w:rPr>
                <w:bCs/>
              </w:rPr>
              <w:t xml:space="preserve">                        </w:t>
            </w:r>
            <w:r>
              <w:rPr>
                <w:b/>
                <w:bCs/>
              </w:rPr>
              <w:t xml:space="preserve">Unit Topic:  </w:t>
            </w:r>
            <w:r>
              <w:rPr>
                <w:bCs/>
              </w:rPr>
              <w:t>WWI</w:t>
            </w:r>
            <w:r w:rsidRPr="00880BE1">
              <w:br/>
              <w:t> </w:t>
            </w:r>
          </w:p>
          <w:p w:rsidR="00212EDB" w:rsidRPr="00880BE1" w:rsidRDefault="00212EDB" w:rsidP="00C2299D">
            <w:pPr>
              <w:spacing w:after="0" w:line="240" w:lineRule="auto"/>
            </w:pPr>
            <w:r>
              <w:rPr>
                <w:b/>
                <w:bCs/>
              </w:rPr>
              <w:t xml:space="preserve">Year Level:  </w:t>
            </w:r>
            <w:r>
              <w:rPr>
                <w:bCs/>
              </w:rPr>
              <w:t xml:space="preserve">9                                                    </w:t>
            </w:r>
            <w:r>
              <w:rPr>
                <w:b/>
                <w:bCs/>
              </w:rPr>
              <w:t xml:space="preserve">                                    Lesson Duration: </w:t>
            </w:r>
            <w:r>
              <w:rPr>
                <w:bCs/>
              </w:rPr>
              <w:t xml:space="preserve">60 minutes               </w:t>
            </w:r>
          </w:p>
        </w:tc>
      </w:tr>
      <w:tr w:rsidR="00212EDB" w:rsidRPr="00880BE1" w:rsidTr="00C2299D">
        <w:trPr>
          <w:trHeight w:val="3240"/>
          <w:tblCellSpacing w:w="0" w:type="dxa"/>
        </w:trPr>
        <w:tc>
          <w:tcPr>
            <w:tcW w:w="10868" w:type="dxa"/>
            <w:gridSpan w:val="2"/>
          </w:tcPr>
          <w:p w:rsidR="00212EDB" w:rsidRPr="00880BE1" w:rsidRDefault="00212EDB" w:rsidP="00C2299D">
            <w:pPr>
              <w:spacing w:after="0" w:line="240" w:lineRule="auto"/>
            </w:pPr>
            <w:r w:rsidRPr="00880BE1">
              <w:t> </w:t>
            </w:r>
            <w:bookmarkStart w:id="1" w:name="table07"/>
            <w:bookmarkEnd w:id="1"/>
            <w:r>
              <w:t xml:space="preserve"> </w:t>
            </w:r>
          </w:p>
          <w:tbl>
            <w:tblPr>
              <w:tblW w:w="10080" w:type="dxa"/>
              <w:tblCellSpacing w:w="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60"/>
              <w:gridCol w:w="3289"/>
              <w:gridCol w:w="3731"/>
            </w:tblGrid>
            <w:tr w:rsidR="00212EDB" w:rsidRPr="00880BE1" w:rsidTr="00C2299D">
              <w:trPr>
                <w:trHeight w:val="600"/>
                <w:tblCellSpacing w:w="0" w:type="dxa"/>
              </w:trPr>
              <w:tc>
                <w:tcPr>
                  <w:tcW w:w="3060" w:type="dxa"/>
                </w:tcPr>
                <w:p w:rsidR="00212EDB" w:rsidRPr="00880BE1" w:rsidRDefault="00212EDB" w:rsidP="00C2299D">
                  <w:pPr>
                    <w:spacing w:after="0" w:line="240" w:lineRule="auto"/>
                  </w:pPr>
                  <w:proofErr w:type="spellStart"/>
                  <w:r>
                    <w:rPr>
                      <w:b/>
                      <w:bCs/>
                    </w:rPr>
                    <w:t>Aus</w:t>
                  </w:r>
                  <w:r w:rsidRPr="00880BE1">
                    <w:rPr>
                      <w:b/>
                      <w:bCs/>
                    </w:rPr>
                    <w:t>VELS</w:t>
                  </w:r>
                  <w:proofErr w:type="spellEnd"/>
                  <w:r w:rsidRPr="00880BE1">
                    <w:t> </w:t>
                  </w:r>
                </w:p>
              </w:tc>
              <w:tc>
                <w:tcPr>
                  <w:tcW w:w="3289" w:type="dxa"/>
                </w:tcPr>
                <w:p w:rsidR="00212EDB" w:rsidRDefault="00212EDB" w:rsidP="00C2299D">
                  <w:pPr>
                    <w:spacing w:after="0" w:line="240" w:lineRule="auto"/>
                    <w:ind w:firstLine="90"/>
                    <w:rPr>
                      <w:rFonts w:hint="eastAsia"/>
                      <w:b/>
                      <w:bCs/>
                      <w:lang w:eastAsia="zh-CN"/>
                    </w:rPr>
                  </w:pPr>
                  <w:r w:rsidRPr="00880BE1">
                    <w:rPr>
                      <w:b/>
                      <w:bCs/>
                    </w:rPr>
                    <w:t xml:space="preserve">Specific Lesson Outcomes for </w:t>
                  </w:r>
                </w:p>
                <w:p w:rsidR="00212EDB" w:rsidRPr="00880BE1" w:rsidRDefault="00212EDB" w:rsidP="00C2299D">
                  <w:pPr>
                    <w:spacing w:after="0" w:line="240" w:lineRule="auto"/>
                    <w:ind w:firstLine="90"/>
                  </w:pPr>
                  <w:r w:rsidRPr="00880BE1">
                    <w:rPr>
                      <w:b/>
                      <w:bCs/>
                    </w:rPr>
                    <w:t>the students</w:t>
                  </w:r>
                </w:p>
              </w:tc>
              <w:tc>
                <w:tcPr>
                  <w:tcW w:w="3731" w:type="dxa"/>
                </w:tcPr>
                <w:p w:rsidR="00212EDB" w:rsidRPr="00880BE1" w:rsidRDefault="00212EDB" w:rsidP="00C2299D">
                  <w:pPr>
                    <w:spacing w:after="0" w:line="240" w:lineRule="auto"/>
                  </w:pPr>
                  <w:r>
                    <w:rPr>
                      <w:rFonts w:hint="eastAsia"/>
                      <w:b/>
                      <w:bCs/>
                      <w:lang w:eastAsia="zh-CN"/>
                    </w:rPr>
                    <w:t xml:space="preserve">  </w:t>
                  </w:r>
                  <w:r w:rsidRPr="00880BE1">
                    <w:rPr>
                      <w:b/>
                      <w:bCs/>
                    </w:rPr>
                    <w:t xml:space="preserve">How will I determine if outcomes </w:t>
                  </w:r>
                  <w:r>
                    <w:rPr>
                      <w:rFonts w:hint="eastAsia"/>
                      <w:b/>
                      <w:bCs/>
                      <w:lang w:eastAsia="zh-CN"/>
                    </w:rPr>
                    <w:t xml:space="preserve">  </w:t>
                  </w:r>
                  <w:r w:rsidRPr="00880BE1">
                    <w:rPr>
                      <w:b/>
                      <w:bCs/>
                    </w:rPr>
                    <w:t>have been met</w:t>
                  </w:r>
                </w:p>
              </w:tc>
            </w:tr>
            <w:tr w:rsidR="00212EDB" w:rsidRPr="00880BE1" w:rsidTr="00C2299D">
              <w:trPr>
                <w:tblCellSpacing w:w="0" w:type="dxa"/>
              </w:trPr>
              <w:tc>
                <w:tcPr>
                  <w:tcW w:w="3060" w:type="dxa"/>
                </w:tcPr>
                <w:p w:rsidR="00212EDB" w:rsidRPr="00002ED6" w:rsidRDefault="00002ED6" w:rsidP="00C2299D">
                  <w:pPr>
                    <w:rPr>
                      <w:rFonts w:asciiTheme="minorHAnsi" w:hAnsiTheme="minorHAnsi" w:cstheme="minorHAnsi"/>
                    </w:rPr>
                  </w:pPr>
                  <w:r w:rsidRPr="00002ED6">
                    <w:rPr>
                      <w:rStyle w:val="glink1"/>
                      <w:rFonts w:asciiTheme="minorHAnsi" w:hAnsiTheme="minorHAnsi" w:cstheme="minorHAnsi"/>
                    </w:rPr>
                    <w:t>Create</w:t>
                  </w:r>
                  <w:r w:rsidRPr="00002ED6">
                    <w:rPr>
                      <w:rFonts w:asciiTheme="minorHAnsi" w:hAnsiTheme="minorHAnsi" w:cstheme="minorHAnsi"/>
                    </w:rPr>
                    <w:t xml:space="preserve"> imaginative, informative and persuasive texts that present a point of </w:t>
                  </w:r>
                  <w:r w:rsidRPr="00002ED6">
                    <w:rPr>
                      <w:rStyle w:val="glink1"/>
                      <w:rFonts w:asciiTheme="minorHAnsi" w:hAnsiTheme="minorHAnsi" w:cstheme="minorHAnsi"/>
                    </w:rPr>
                    <w:t>view</w:t>
                  </w:r>
                  <w:r w:rsidRPr="00002ED6">
                    <w:rPr>
                      <w:rFonts w:asciiTheme="minorHAnsi" w:hAnsiTheme="minorHAnsi" w:cstheme="minorHAnsi"/>
                    </w:rPr>
                    <w:t xml:space="preserve"> and advance or illustrate arguments, including texts that integrate visual, print and/or audio features </w:t>
                  </w:r>
                  <w:hyperlink r:id="rId5" w:tooltip="View elaborations and additional details of ACELY1746" w:history="1">
                    <w:r w:rsidRPr="00002ED6">
                      <w:rPr>
                        <w:rStyle w:val="Hyperlink"/>
                        <w:rFonts w:asciiTheme="minorHAnsi" w:hAnsiTheme="minorHAnsi" w:cstheme="minorHAnsi"/>
                        <w:color w:val="auto"/>
                        <w:sz w:val="22"/>
                        <w:szCs w:val="22"/>
                      </w:rPr>
                      <w:t>(ACELY1746)</w:t>
                    </w:r>
                  </w:hyperlink>
                </w:p>
              </w:tc>
              <w:tc>
                <w:tcPr>
                  <w:tcW w:w="3289" w:type="dxa"/>
                </w:tcPr>
                <w:p w:rsidR="00212EDB" w:rsidRPr="00880BE1" w:rsidRDefault="00212EDB" w:rsidP="00C2299D">
                  <w:pPr>
                    <w:spacing w:after="0" w:line="240" w:lineRule="auto"/>
                  </w:pPr>
                  <w:r w:rsidRPr="00880BE1">
                    <w:t> </w:t>
                  </w:r>
                  <w:r w:rsidR="00002ED6">
                    <w:t>To understand some of the issues regarding the</w:t>
                  </w:r>
                  <w:r w:rsidR="00002ED6">
                    <w:t xml:space="preserve"> national memory of World War I, as well as establish their own voice and opinion. </w:t>
                  </w:r>
                </w:p>
              </w:tc>
              <w:tc>
                <w:tcPr>
                  <w:tcW w:w="3731" w:type="dxa"/>
                </w:tcPr>
                <w:p w:rsidR="00212EDB" w:rsidRPr="00880BE1" w:rsidRDefault="00212EDB" w:rsidP="00C2299D">
                  <w:pPr>
                    <w:spacing w:after="0" w:line="240" w:lineRule="auto"/>
                  </w:pPr>
                  <w:r w:rsidRPr="00880BE1">
                    <w:t> </w:t>
                  </w:r>
                  <w:r>
                    <w:t xml:space="preserve"> </w:t>
                  </w:r>
                  <w:r w:rsidR="00492A88">
                    <w:t>Student</w:t>
                  </w:r>
                  <w:r w:rsidR="00002ED6">
                    <w:t xml:space="preserve"> complete</w:t>
                  </w:r>
                  <w:r w:rsidR="00492A88">
                    <w:t>s</w:t>
                  </w:r>
                  <w:r w:rsidR="00002ED6">
                    <w:t xml:space="preserve"> task and engage</w:t>
                  </w:r>
                  <w:r w:rsidR="00492A88">
                    <w:t>s</w:t>
                  </w:r>
                  <w:r w:rsidR="00002ED6">
                    <w:t xml:space="preserve"> with the sources. </w:t>
                  </w:r>
                </w:p>
              </w:tc>
            </w:tr>
            <w:tr w:rsidR="00212EDB" w:rsidRPr="00880BE1" w:rsidTr="00C2299D">
              <w:trPr>
                <w:tblCellSpacing w:w="0" w:type="dxa"/>
              </w:trPr>
              <w:tc>
                <w:tcPr>
                  <w:tcW w:w="3060" w:type="dxa"/>
                </w:tcPr>
                <w:p w:rsidR="00212EDB" w:rsidRPr="00002ED6" w:rsidRDefault="00212EDB" w:rsidP="00002ED6">
                  <w:pPr>
                    <w:rPr>
                      <w:rFonts w:asciiTheme="minorHAnsi" w:hAnsiTheme="minorHAnsi" w:cstheme="minorHAnsi"/>
                    </w:rPr>
                  </w:pPr>
                  <w:r w:rsidRPr="00002ED6">
                    <w:rPr>
                      <w:rFonts w:asciiTheme="minorHAnsi" w:hAnsiTheme="minorHAnsi" w:cstheme="minorHAnsi"/>
                    </w:rPr>
                    <w:t> </w:t>
                  </w:r>
                  <w:r w:rsidR="00002ED6" w:rsidRPr="00002ED6">
                    <w:rPr>
                      <w:rFonts w:asciiTheme="minorHAnsi" w:hAnsiTheme="minorHAnsi" w:cstheme="minorHAnsi"/>
                    </w:rPr>
                    <w:t xml:space="preserve">Review and edit students’ own and others’ texts to improve clarity and control over content, organisation, paragraphing, </w:t>
                  </w:r>
                  <w:r w:rsidR="00002ED6" w:rsidRPr="00002ED6">
                    <w:rPr>
                      <w:rStyle w:val="glink1"/>
                      <w:rFonts w:asciiTheme="minorHAnsi" w:hAnsiTheme="minorHAnsi" w:cstheme="minorHAnsi"/>
                    </w:rPr>
                    <w:t>sentence</w:t>
                  </w:r>
                  <w:r w:rsidR="00002ED6" w:rsidRPr="00002ED6">
                    <w:rPr>
                      <w:rFonts w:asciiTheme="minorHAnsi" w:hAnsiTheme="minorHAnsi" w:cstheme="minorHAnsi"/>
                    </w:rPr>
                    <w:t xml:space="preserve"> structure, vocabulary and audio/</w:t>
                  </w:r>
                  <w:r w:rsidR="00002ED6" w:rsidRPr="00002ED6">
                    <w:rPr>
                      <w:rStyle w:val="glink1"/>
                      <w:rFonts w:asciiTheme="minorHAnsi" w:hAnsiTheme="minorHAnsi" w:cstheme="minorHAnsi"/>
                    </w:rPr>
                    <w:t>visual features</w:t>
                  </w:r>
                  <w:hyperlink r:id="rId6" w:tooltip="View elaborations and additional details of ACELY1747" w:history="1">
                    <w:r w:rsidR="00002ED6" w:rsidRPr="00002ED6">
                      <w:rPr>
                        <w:rStyle w:val="Hyperlink"/>
                        <w:rFonts w:asciiTheme="minorHAnsi" w:hAnsiTheme="minorHAnsi" w:cstheme="minorHAnsi"/>
                        <w:color w:val="auto"/>
                        <w:sz w:val="22"/>
                        <w:szCs w:val="22"/>
                      </w:rPr>
                      <w:t>(ACELY1747)</w:t>
                    </w:r>
                  </w:hyperlink>
                </w:p>
              </w:tc>
              <w:tc>
                <w:tcPr>
                  <w:tcW w:w="3289" w:type="dxa"/>
                </w:tcPr>
                <w:p w:rsidR="00212EDB" w:rsidRPr="00880BE1" w:rsidRDefault="00002ED6" w:rsidP="00C2299D">
                  <w:r>
                    <w:t xml:space="preserve">To understand how language can be used to present an argument and how sharing your argument online can be a good way to communicate. </w:t>
                  </w:r>
                </w:p>
              </w:tc>
              <w:tc>
                <w:tcPr>
                  <w:tcW w:w="3731" w:type="dxa"/>
                </w:tcPr>
                <w:p w:rsidR="00212EDB" w:rsidRPr="00880BE1" w:rsidRDefault="00212EDB" w:rsidP="00C2299D">
                  <w:pPr>
                    <w:spacing w:after="0" w:line="240" w:lineRule="auto"/>
                  </w:pPr>
                  <w:r w:rsidRPr="00880BE1">
                    <w:t> </w:t>
                  </w:r>
                  <w:r>
                    <w:t xml:space="preserve"> </w:t>
                  </w:r>
                  <w:r w:rsidR="00492A88">
                    <w:t>Student asks questions and actively communicates</w:t>
                  </w:r>
                  <w:r w:rsidR="00002ED6">
                    <w:t xml:space="preserve"> in the online discussion. </w:t>
                  </w:r>
                </w:p>
              </w:tc>
            </w:tr>
            <w:tr w:rsidR="00212EDB" w:rsidRPr="00880BE1" w:rsidTr="00C2299D">
              <w:trPr>
                <w:tblCellSpacing w:w="0" w:type="dxa"/>
              </w:trPr>
              <w:tc>
                <w:tcPr>
                  <w:tcW w:w="3060" w:type="dxa"/>
                </w:tcPr>
                <w:p w:rsidR="00212EDB" w:rsidRPr="00002ED6" w:rsidRDefault="00002ED6" w:rsidP="00C2299D">
                  <w:pPr>
                    <w:rPr>
                      <w:rFonts w:asciiTheme="minorHAnsi" w:hAnsiTheme="minorHAnsi" w:cstheme="minorHAnsi"/>
                    </w:rPr>
                  </w:pPr>
                  <w:r w:rsidRPr="00002ED6">
                    <w:rPr>
                      <w:rStyle w:val="glink1"/>
                      <w:rFonts w:asciiTheme="minorHAnsi" w:hAnsiTheme="minorHAnsi" w:cstheme="minorHAnsi"/>
                    </w:rPr>
                    <w:t>Create</w:t>
                  </w:r>
                  <w:r w:rsidRPr="00002ED6">
                    <w:rPr>
                      <w:rFonts w:asciiTheme="minorHAnsi" w:hAnsiTheme="minorHAnsi" w:cstheme="minorHAnsi"/>
                    </w:rPr>
                    <w:t xml:space="preserve"> literary texts, including </w:t>
                  </w:r>
                  <w:r w:rsidRPr="00002ED6">
                    <w:rPr>
                      <w:rStyle w:val="glink1"/>
                      <w:rFonts w:asciiTheme="minorHAnsi" w:hAnsiTheme="minorHAnsi" w:cstheme="minorHAnsi"/>
                    </w:rPr>
                    <w:t>hybrid texts</w:t>
                  </w:r>
                  <w:r w:rsidRPr="00002ED6">
                    <w:rPr>
                      <w:rFonts w:asciiTheme="minorHAnsi" w:hAnsiTheme="minorHAnsi" w:cstheme="minorHAnsi"/>
                    </w:rPr>
                    <w:t xml:space="preserve">, that innovate on aspects of other texts, for example by using parody, allusion and appropriation </w:t>
                  </w:r>
                  <w:hyperlink r:id="rId7" w:tooltip="View elaborations and additional details of ACELT1773" w:history="1">
                    <w:r w:rsidRPr="00002ED6">
                      <w:rPr>
                        <w:rStyle w:val="Hyperlink"/>
                        <w:rFonts w:asciiTheme="minorHAnsi" w:hAnsiTheme="minorHAnsi" w:cstheme="minorHAnsi"/>
                        <w:color w:val="auto"/>
                        <w:sz w:val="22"/>
                        <w:szCs w:val="22"/>
                      </w:rPr>
                      <w:t>(ACELT1773)</w:t>
                    </w:r>
                  </w:hyperlink>
                </w:p>
              </w:tc>
              <w:tc>
                <w:tcPr>
                  <w:tcW w:w="3289" w:type="dxa"/>
                </w:tcPr>
                <w:p w:rsidR="00212EDB" w:rsidRPr="00880BE1" w:rsidRDefault="00002ED6" w:rsidP="00C2299D">
                  <w:pPr>
                    <w:spacing w:after="0" w:line="240" w:lineRule="auto"/>
                  </w:pPr>
                  <w:r>
                    <w:t xml:space="preserve">To gain a deep level of understanding about the idea of nationalism and memory. </w:t>
                  </w:r>
                </w:p>
              </w:tc>
              <w:tc>
                <w:tcPr>
                  <w:tcW w:w="3731" w:type="dxa"/>
                </w:tcPr>
                <w:p w:rsidR="00212EDB" w:rsidRPr="00880BE1" w:rsidRDefault="00212EDB" w:rsidP="00C2299D">
                  <w:pPr>
                    <w:spacing w:after="0" w:line="240" w:lineRule="auto"/>
                  </w:pPr>
                  <w:r w:rsidRPr="00880BE1">
                    <w:t> </w:t>
                  </w:r>
                  <w:r>
                    <w:t xml:space="preserve"> </w:t>
                  </w:r>
                  <w:r w:rsidR="00492A88">
                    <w:t>Student</w:t>
                  </w:r>
                  <w:r w:rsidR="00002ED6">
                    <w:t xml:space="preserve"> can </w:t>
                  </w:r>
                  <w:r w:rsidR="00492A88">
                    <w:t xml:space="preserve">understand the text and respond to it appropriately. </w:t>
                  </w:r>
                  <w:bookmarkStart w:id="2" w:name="_GoBack"/>
                  <w:bookmarkEnd w:id="2"/>
                </w:p>
              </w:tc>
            </w:tr>
          </w:tbl>
          <w:p w:rsidR="00212EDB" w:rsidRPr="00880BE1" w:rsidRDefault="00212EDB" w:rsidP="00C2299D">
            <w:pPr>
              <w:spacing w:after="0" w:line="240" w:lineRule="auto"/>
              <w:rPr>
                <w:rFonts w:hint="eastAsia"/>
                <w:lang w:eastAsia="zh-CN"/>
              </w:rPr>
            </w:pPr>
            <w:r>
              <w:t> </w:t>
            </w:r>
          </w:p>
        </w:tc>
      </w:tr>
      <w:tr w:rsidR="00212EDB" w:rsidRPr="00880BE1" w:rsidTr="00C2299D">
        <w:trPr>
          <w:trHeight w:val="840"/>
          <w:tblCellSpacing w:w="0" w:type="dxa"/>
        </w:trPr>
        <w:tc>
          <w:tcPr>
            <w:tcW w:w="7791" w:type="dxa"/>
          </w:tcPr>
          <w:p w:rsidR="00212EDB" w:rsidRDefault="00212EDB" w:rsidP="00C2299D">
            <w:pPr>
              <w:rPr>
                <w:rFonts w:cs="Calibri"/>
              </w:rPr>
            </w:pPr>
            <w:r w:rsidRPr="00880BE1">
              <w:rPr>
                <w:b/>
                <w:bCs/>
              </w:rPr>
              <w:t>INTRODUCTION</w:t>
            </w:r>
            <w:r>
              <w:t> </w:t>
            </w:r>
            <w:r>
              <w:br/>
              <w:t> </w:t>
            </w:r>
            <w:r>
              <w:br/>
              <w:t> </w:t>
            </w:r>
            <w:r w:rsidRPr="00C65200">
              <w:rPr>
                <w:rFonts w:cs="Calibri"/>
              </w:rPr>
              <w:t xml:space="preserve">Welcome students and mark role. </w:t>
            </w:r>
          </w:p>
          <w:p w:rsidR="00002ED6" w:rsidRPr="00C65200" w:rsidRDefault="00002ED6" w:rsidP="00C2299D">
            <w:pPr>
              <w:rPr>
                <w:rFonts w:cs="Calibri"/>
              </w:rPr>
            </w:pPr>
            <w:r>
              <w:rPr>
                <w:rFonts w:cs="Calibri"/>
              </w:rPr>
              <w:t xml:space="preserve">Check homework from the previous lesson and discuss their work. </w:t>
            </w:r>
          </w:p>
          <w:p w:rsidR="00212EDB" w:rsidRPr="00880BE1" w:rsidRDefault="00002ED6" w:rsidP="00C2299D">
            <w:pPr>
              <w:spacing w:after="0" w:line="240" w:lineRule="auto"/>
            </w:pPr>
            <w:r>
              <w:t xml:space="preserve">Explain to students that this is a continuation of the last English lesson and that they will be writing their own response either debunking the original author or siding with her. </w:t>
            </w:r>
            <w:r w:rsidR="00212EDB" w:rsidRPr="00880BE1">
              <w:br/>
              <w:t> </w:t>
            </w:r>
          </w:p>
        </w:tc>
        <w:tc>
          <w:tcPr>
            <w:tcW w:w="3077" w:type="dxa"/>
          </w:tcPr>
          <w:p w:rsidR="00212EDB" w:rsidRPr="00BE1F91" w:rsidRDefault="00212EDB" w:rsidP="00C2299D">
            <w:pPr>
              <w:spacing w:after="0" w:line="240" w:lineRule="auto"/>
              <w:rPr>
                <w:b/>
              </w:rPr>
            </w:pPr>
            <w:r w:rsidRPr="00BE1F91">
              <w:rPr>
                <w:b/>
              </w:rPr>
              <w:t xml:space="preserve">Key questions </w:t>
            </w:r>
          </w:p>
          <w:p w:rsidR="00212EDB" w:rsidRPr="00BE1F91" w:rsidRDefault="00212EDB" w:rsidP="00C2299D">
            <w:pPr>
              <w:spacing w:after="0" w:line="240" w:lineRule="auto"/>
              <w:rPr>
                <w:b/>
              </w:rPr>
            </w:pPr>
            <w:r w:rsidRPr="00BE1F91">
              <w:rPr>
                <w:b/>
              </w:rPr>
              <w:t>Key organisational/</w:t>
            </w:r>
          </w:p>
          <w:p w:rsidR="00212EDB" w:rsidRDefault="00212EDB" w:rsidP="00C2299D">
            <w:pPr>
              <w:spacing w:after="0" w:line="240" w:lineRule="auto"/>
              <w:rPr>
                <w:b/>
              </w:rPr>
            </w:pPr>
            <w:r w:rsidRPr="00BE1F91">
              <w:rPr>
                <w:b/>
              </w:rPr>
              <w:t>management issues</w:t>
            </w:r>
          </w:p>
          <w:p w:rsidR="00002ED6" w:rsidRDefault="00002ED6" w:rsidP="00C2299D">
            <w:pPr>
              <w:spacing w:after="0" w:line="240" w:lineRule="auto"/>
              <w:rPr>
                <w:b/>
              </w:rPr>
            </w:pPr>
          </w:p>
          <w:p w:rsidR="00002ED6" w:rsidRPr="00002ED6" w:rsidRDefault="00002ED6" w:rsidP="00C2299D">
            <w:pPr>
              <w:spacing w:after="0" w:line="240" w:lineRule="auto"/>
            </w:pPr>
            <w:r w:rsidRPr="00002ED6">
              <w:t xml:space="preserve">Students who have not completed their homework must jot down as many answers as they can during class discussion and show the teacher this. </w:t>
            </w:r>
          </w:p>
        </w:tc>
      </w:tr>
      <w:tr w:rsidR="00212EDB" w:rsidRPr="00880BE1" w:rsidTr="00C2299D">
        <w:trPr>
          <w:tblCellSpacing w:w="0" w:type="dxa"/>
        </w:trPr>
        <w:tc>
          <w:tcPr>
            <w:tcW w:w="7791" w:type="dxa"/>
          </w:tcPr>
          <w:p w:rsidR="00212EDB" w:rsidRDefault="00212EDB" w:rsidP="00C2299D">
            <w:pPr>
              <w:spacing w:after="0" w:line="240" w:lineRule="auto"/>
            </w:pPr>
            <w:r w:rsidRPr="00880BE1">
              <w:rPr>
                <w:b/>
                <w:bCs/>
              </w:rPr>
              <w:t>PROCEDURE</w:t>
            </w:r>
            <w:r w:rsidRPr="00880BE1">
              <w:t xml:space="preserve"> </w:t>
            </w:r>
          </w:p>
          <w:p w:rsidR="00212EDB" w:rsidRDefault="00212EDB" w:rsidP="00C2299D">
            <w:pPr>
              <w:spacing w:after="0" w:line="240" w:lineRule="auto"/>
            </w:pPr>
          </w:p>
          <w:p w:rsidR="00002ED6" w:rsidRDefault="00002ED6" w:rsidP="00C2299D">
            <w:pPr>
              <w:spacing w:after="0" w:line="240" w:lineRule="auto"/>
            </w:pPr>
            <w:r>
              <w:t xml:space="preserve">Students are to write their own response, they can choose whether or not to post it on The Age website but they do have to post it in the class Wiki. Their piece should be </w:t>
            </w:r>
            <w:r>
              <w:lastRenderedPageBreak/>
              <w:t xml:space="preserve">between 250-500 words and make use of the persuasive devices discussed in the previous lesson. </w:t>
            </w:r>
          </w:p>
          <w:p w:rsidR="00002ED6" w:rsidRDefault="00002ED6" w:rsidP="00C2299D">
            <w:pPr>
              <w:spacing w:after="0" w:line="240" w:lineRule="auto"/>
            </w:pPr>
          </w:p>
          <w:p w:rsidR="00212EDB" w:rsidRDefault="00002ED6" w:rsidP="00C2299D">
            <w:pPr>
              <w:spacing w:after="0" w:line="240" w:lineRule="auto"/>
            </w:pPr>
            <w:r>
              <w:t xml:space="preserve">Once they have posted their response students must respond to at least one other person’s piece. </w:t>
            </w:r>
          </w:p>
          <w:p w:rsidR="00002ED6" w:rsidRDefault="00002ED6" w:rsidP="00C2299D">
            <w:pPr>
              <w:spacing w:after="0" w:line="240" w:lineRule="auto"/>
            </w:pPr>
          </w:p>
          <w:p w:rsidR="00002ED6" w:rsidRPr="00880BE1" w:rsidRDefault="00002ED6" w:rsidP="00C2299D">
            <w:pPr>
              <w:spacing w:after="0" w:line="240" w:lineRule="auto"/>
            </w:pPr>
          </w:p>
        </w:tc>
        <w:tc>
          <w:tcPr>
            <w:tcW w:w="3077" w:type="dxa"/>
          </w:tcPr>
          <w:p w:rsidR="00212EDB" w:rsidRPr="00BE1F91" w:rsidRDefault="00212EDB" w:rsidP="00C2299D">
            <w:pPr>
              <w:spacing w:after="0" w:line="240" w:lineRule="auto"/>
              <w:rPr>
                <w:b/>
              </w:rPr>
            </w:pPr>
            <w:r w:rsidRPr="00BE1F91">
              <w:rPr>
                <w:b/>
              </w:rPr>
              <w:lastRenderedPageBreak/>
              <w:t xml:space="preserve">Key questions </w:t>
            </w:r>
          </w:p>
          <w:p w:rsidR="00212EDB" w:rsidRPr="00BE1F91" w:rsidRDefault="00212EDB" w:rsidP="00C2299D">
            <w:pPr>
              <w:spacing w:after="0" w:line="240" w:lineRule="auto"/>
              <w:rPr>
                <w:b/>
              </w:rPr>
            </w:pPr>
            <w:r w:rsidRPr="00BE1F91">
              <w:rPr>
                <w:b/>
              </w:rPr>
              <w:t>Key organisational/</w:t>
            </w:r>
          </w:p>
          <w:p w:rsidR="00212EDB" w:rsidRDefault="00212EDB" w:rsidP="00C2299D">
            <w:pPr>
              <w:spacing w:after="0" w:line="240" w:lineRule="auto"/>
              <w:rPr>
                <w:b/>
              </w:rPr>
            </w:pPr>
            <w:r w:rsidRPr="00BE1F91">
              <w:rPr>
                <w:b/>
              </w:rPr>
              <w:t>management issues</w:t>
            </w:r>
          </w:p>
          <w:p w:rsidR="00212EDB" w:rsidRDefault="00212EDB" w:rsidP="00C2299D">
            <w:pPr>
              <w:spacing w:after="0" w:line="240" w:lineRule="auto"/>
              <w:rPr>
                <w:b/>
              </w:rPr>
            </w:pPr>
          </w:p>
          <w:p w:rsidR="00212EDB" w:rsidRPr="00C65200" w:rsidRDefault="00002ED6" w:rsidP="00C2299D">
            <w:pPr>
              <w:spacing w:after="0" w:line="240" w:lineRule="auto"/>
            </w:pPr>
            <w:r>
              <w:lastRenderedPageBreak/>
              <w:t xml:space="preserve">Students may have differing opinions, they MUST not be offensive to their peers and they must create responses that do not diminish their classmates. </w:t>
            </w:r>
          </w:p>
        </w:tc>
      </w:tr>
      <w:tr w:rsidR="00212EDB" w:rsidRPr="00880BE1" w:rsidTr="00C2299D">
        <w:trPr>
          <w:tblCellSpacing w:w="0" w:type="dxa"/>
        </w:trPr>
        <w:tc>
          <w:tcPr>
            <w:tcW w:w="7791" w:type="dxa"/>
          </w:tcPr>
          <w:p w:rsidR="00002ED6" w:rsidRDefault="00212EDB" w:rsidP="00C2299D">
            <w:pPr>
              <w:spacing w:after="0" w:line="240" w:lineRule="auto"/>
            </w:pPr>
            <w:r w:rsidRPr="00880BE1">
              <w:rPr>
                <w:b/>
                <w:bCs/>
              </w:rPr>
              <w:lastRenderedPageBreak/>
              <w:t>CLOSURE</w:t>
            </w:r>
            <w:r w:rsidRPr="00880BE1">
              <w:t> </w:t>
            </w:r>
            <w:r w:rsidRPr="00880BE1">
              <w:br/>
              <w:t> </w:t>
            </w:r>
          </w:p>
          <w:p w:rsidR="00212EDB" w:rsidRPr="00880BE1" w:rsidRDefault="00002ED6" w:rsidP="00C2299D">
            <w:pPr>
              <w:spacing w:after="0" w:line="240" w:lineRule="auto"/>
            </w:pPr>
            <w:r>
              <w:t xml:space="preserve">Congratulate students on a successful task. What has not been finished must be done for homework and will be checked. </w:t>
            </w:r>
            <w:r w:rsidR="00212EDB" w:rsidRPr="00880BE1">
              <w:br/>
              <w:t> </w:t>
            </w:r>
          </w:p>
          <w:p w:rsidR="00212EDB" w:rsidRPr="00880BE1" w:rsidRDefault="00212EDB" w:rsidP="00C2299D">
            <w:pPr>
              <w:spacing w:after="0" w:line="240" w:lineRule="auto"/>
            </w:pPr>
            <w:r w:rsidRPr="00880BE1">
              <w:br/>
              <w:t> </w:t>
            </w:r>
            <w:r w:rsidRPr="00880BE1">
              <w:br/>
              <w:t> </w:t>
            </w:r>
            <w:r w:rsidRPr="00880BE1">
              <w:br/>
              <w:t> </w:t>
            </w:r>
            <w:r w:rsidRPr="00880BE1">
              <w:br/>
              <w:t> </w:t>
            </w:r>
            <w:r w:rsidRPr="00880BE1">
              <w:br/>
              <w:t> </w:t>
            </w:r>
          </w:p>
        </w:tc>
        <w:tc>
          <w:tcPr>
            <w:tcW w:w="3077" w:type="dxa"/>
          </w:tcPr>
          <w:p w:rsidR="00212EDB" w:rsidRPr="00BE1F91" w:rsidRDefault="00212EDB" w:rsidP="00C2299D">
            <w:pPr>
              <w:spacing w:after="0" w:line="240" w:lineRule="auto"/>
              <w:rPr>
                <w:b/>
              </w:rPr>
            </w:pPr>
            <w:r w:rsidRPr="00BE1F91">
              <w:rPr>
                <w:b/>
              </w:rPr>
              <w:t xml:space="preserve">Key questions </w:t>
            </w:r>
          </w:p>
          <w:p w:rsidR="00212EDB" w:rsidRPr="00BE1F91" w:rsidRDefault="00212EDB" w:rsidP="00C2299D">
            <w:pPr>
              <w:spacing w:after="0" w:line="240" w:lineRule="auto"/>
              <w:rPr>
                <w:b/>
              </w:rPr>
            </w:pPr>
            <w:r w:rsidRPr="00BE1F91">
              <w:rPr>
                <w:b/>
              </w:rPr>
              <w:t>Key organisational/</w:t>
            </w:r>
          </w:p>
          <w:p w:rsidR="00212EDB" w:rsidRDefault="00212EDB" w:rsidP="00C2299D">
            <w:pPr>
              <w:spacing w:after="0" w:line="240" w:lineRule="auto"/>
            </w:pPr>
            <w:r w:rsidRPr="00BE1F91">
              <w:rPr>
                <w:b/>
              </w:rPr>
              <w:t>management issues</w:t>
            </w:r>
            <w:r w:rsidRPr="00880BE1">
              <w:t> </w:t>
            </w:r>
          </w:p>
          <w:p w:rsidR="00212EDB" w:rsidRDefault="00212EDB" w:rsidP="00C2299D">
            <w:pPr>
              <w:spacing w:after="0" w:line="240" w:lineRule="auto"/>
            </w:pPr>
          </w:p>
          <w:p w:rsidR="00212EDB" w:rsidRPr="00880BE1" w:rsidRDefault="00212EDB" w:rsidP="00C2299D">
            <w:pPr>
              <w:spacing w:after="0" w:line="240" w:lineRule="auto"/>
            </w:pPr>
            <w:r>
              <w:t xml:space="preserve">Students are to write their homework task in their diaries. </w:t>
            </w:r>
          </w:p>
        </w:tc>
      </w:tr>
      <w:tr w:rsidR="00212EDB" w:rsidRPr="00880BE1" w:rsidTr="00C2299D">
        <w:trPr>
          <w:tblCellSpacing w:w="0" w:type="dxa"/>
        </w:trPr>
        <w:tc>
          <w:tcPr>
            <w:tcW w:w="10868" w:type="dxa"/>
            <w:gridSpan w:val="2"/>
          </w:tcPr>
          <w:p w:rsidR="00212EDB" w:rsidRPr="00880BE1" w:rsidRDefault="00212EDB" w:rsidP="00C2299D">
            <w:pPr>
              <w:spacing w:after="0" w:line="240" w:lineRule="auto"/>
            </w:pPr>
            <w:r w:rsidRPr="00880BE1">
              <w:rPr>
                <w:b/>
                <w:bCs/>
              </w:rPr>
              <w:t>R</w:t>
            </w:r>
            <w:r>
              <w:rPr>
                <w:b/>
                <w:bCs/>
              </w:rPr>
              <w:t>ESOURCES</w:t>
            </w:r>
            <w:r w:rsidRPr="00880BE1">
              <w:br/>
            </w:r>
          </w:p>
          <w:p w:rsidR="00FE0EB4" w:rsidRPr="00B4211F" w:rsidRDefault="00FE0EB4" w:rsidP="00FE0EB4">
            <w:pPr>
              <w:rPr>
                <w:rFonts w:asciiTheme="minorHAnsi" w:eastAsia="Times New Roman" w:hAnsiTheme="minorHAnsi" w:cstheme="minorHAnsi"/>
                <w:bCs/>
                <w:color w:val="000000"/>
                <w:kern w:val="36"/>
                <w:lang w:eastAsia="en-AU"/>
              </w:rPr>
            </w:pPr>
            <w:r>
              <w:rPr>
                <w:rFonts w:asciiTheme="minorHAnsi" w:eastAsia="Times New Roman" w:hAnsiTheme="minorHAnsi" w:cstheme="minorHAnsi"/>
                <w:bCs/>
                <w:color w:val="000000"/>
                <w:kern w:val="36"/>
                <w:lang w:eastAsia="en-AU"/>
              </w:rPr>
              <w:t xml:space="preserve">Opinion piece: </w:t>
            </w:r>
            <w:r w:rsidRPr="00B4211F">
              <w:rPr>
                <w:rFonts w:asciiTheme="minorHAnsi" w:eastAsia="Times New Roman" w:hAnsiTheme="minorHAnsi" w:cstheme="minorHAnsi"/>
                <w:bCs/>
                <w:i/>
                <w:color w:val="000000"/>
                <w:kern w:val="36"/>
                <w:lang w:eastAsia="en-AU"/>
              </w:rPr>
              <w:t>Fight free of Anzac, lest we forget other stories</w:t>
            </w:r>
            <w:r w:rsidRPr="001A6E55">
              <w:rPr>
                <w:rFonts w:asciiTheme="minorHAnsi" w:eastAsia="Times New Roman" w:hAnsiTheme="minorHAnsi" w:cstheme="minorHAnsi"/>
                <w:bCs/>
                <w:color w:val="000000"/>
                <w:kern w:val="36"/>
                <w:lang w:eastAsia="en-AU"/>
              </w:rPr>
              <w:t xml:space="preserve">. </w:t>
            </w:r>
            <w:r>
              <w:rPr>
                <w:rFonts w:asciiTheme="minorHAnsi" w:eastAsia="Times New Roman" w:hAnsiTheme="minorHAnsi" w:cstheme="minorHAnsi"/>
                <w:bCs/>
                <w:color w:val="000000"/>
                <w:kern w:val="36"/>
                <w:lang w:eastAsia="en-AU"/>
              </w:rPr>
              <w:t xml:space="preserve">Marilyn Lake. </w:t>
            </w:r>
            <w:hyperlink r:id="rId8" w:anchor="ixzz2X43K77es" w:history="1">
              <w:r w:rsidRPr="001A6E55">
                <w:rPr>
                  <w:rFonts w:asciiTheme="minorHAnsi" w:eastAsia="Times New Roman" w:hAnsiTheme="minorHAnsi" w:cstheme="minorHAnsi"/>
                  <w:color w:val="003399"/>
                  <w:lang w:eastAsia="en-AU"/>
                </w:rPr>
                <w:t>http://www.t</w:t>
              </w:r>
              <w:r w:rsidRPr="001A6E55">
                <w:rPr>
                  <w:rFonts w:asciiTheme="minorHAnsi" w:eastAsia="Times New Roman" w:hAnsiTheme="minorHAnsi" w:cstheme="minorHAnsi"/>
                  <w:color w:val="003399"/>
                  <w:lang w:eastAsia="en-AU"/>
                </w:rPr>
                <w:t>h</w:t>
              </w:r>
              <w:r w:rsidRPr="001A6E55">
                <w:rPr>
                  <w:rFonts w:asciiTheme="minorHAnsi" w:eastAsia="Times New Roman" w:hAnsiTheme="minorHAnsi" w:cstheme="minorHAnsi"/>
                  <w:color w:val="003399"/>
                  <w:lang w:eastAsia="en-AU"/>
                </w:rPr>
                <w:t>eage.com.au/opinion/fight-free-of-anzac-lest-we-forget-other-stories-20090422-afb5.html#ixzz2X43K77es</w:t>
              </w:r>
            </w:hyperlink>
          </w:p>
          <w:p w:rsidR="00FE0EB4" w:rsidRDefault="00FE0EB4" w:rsidP="00FE0EB4">
            <w:pPr>
              <w:spacing w:after="0" w:line="240" w:lineRule="auto"/>
              <w:rPr>
                <w:rFonts w:asciiTheme="minorHAnsi" w:hAnsiTheme="minorHAnsi" w:cstheme="minorHAnsi"/>
              </w:rPr>
            </w:pPr>
            <w:r>
              <w:rPr>
                <w:rFonts w:asciiTheme="minorHAnsi" w:hAnsiTheme="minorHAnsi" w:cstheme="minorHAnsi"/>
              </w:rPr>
              <w:t>Responses to this piece:</w:t>
            </w:r>
            <w:r>
              <w:rPr>
                <w:rFonts w:asciiTheme="minorHAnsi" w:hAnsiTheme="minorHAnsi" w:cstheme="minorHAnsi"/>
              </w:rPr>
              <w:br/>
            </w:r>
            <w:hyperlink r:id="rId9" w:history="1">
              <w:r w:rsidRPr="00A91867">
                <w:rPr>
                  <w:rStyle w:val="Hyperlink"/>
                  <w:rFonts w:asciiTheme="minorHAnsi" w:hAnsiTheme="minorHAnsi" w:cstheme="minorHAnsi"/>
                  <w:sz w:val="22"/>
                  <w:szCs w:val="22"/>
                  <w:bdr w:val="none" w:sz="0" w:space="0" w:color="auto"/>
                </w:rPr>
                <w:t>http://blogs.theage.com.au/yoursay/archives/2009/04/creation_of_a_n.html?page=fullpage#comments</w:t>
              </w:r>
            </w:hyperlink>
          </w:p>
          <w:p w:rsidR="00212EDB" w:rsidRPr="00880BE1" w:rsidRDefault="00212EDB" w:rsidP="00C2299D">
            <w:pPr>
              <w:spacing w:after="0" w:line="240" w:lineRule="auto"/>
            </w:pPr>
            <w:r w:rsidRPr="00880BE1">
              <w:br/>
              <w:t> </w:t>
            </w:r>
          </w:p>
        </w:tc>
      </w:tr>
      <w:tr w:rsidR="00212EDB" w:rsidRPr="00880BE1" w:rsidTr="00C2299D">
        <w:trPr>
          <w:tblCellSpacing w:w="0" w:type="dxa"/>
        </w:trPr>
        <w:tc>
          <w:tcPr>
            <w:tcW w:w="10868" w:type="dxa"/>
            <w:gridSpan w:val="2"/>
          </w:tcPr>
          <w:p w:rsidR="00212EDB" w:rsidRPr="00880BE1" w:rsidRDefault="00212EDB" w:rsidP="00C2299D">
            <w:pPr>
              <w:spacing w:after="0" w:line="240" w:lineRule="auto"/>
            </w:pPr>
            <w:r w:rsidRPr="00880BE1">
              <w:rPr>
                <w:b/>
                <w:bCs/>
              </w:rPr>
              <w:t xml:space="preserve">CRITERIA FOR ASSESSMENT OF STUDENT ACHIEVEMENT </w:t>
            </w:r>
            <w:r w:rsidRPr="00880BE1">
              <w:br/>
              <w:t> </w:t>
            </w:r>
            <w:r w:rsidRPr="00880BE1">
              <w:br/>
              <w:t> </w:t>
            </w:r>
            <w:r w:rsidR="00002ED6">
              <w:t xml:space="preserve">Successful completion of writing task using persuasive devices and knowledge that they have picked up throughout the course. </w:t>
            </w:r>
            <w:r w:rsidRPr="00880BE1">
              <w:br/>
              <w:t> </w:t>
            </w:r>
            <w:r w:rsidRPr="00880BE1">
              <w:br/>
              <w:t> </w:t>
            </w:r>
            <w:r w:rsidRPr="00880BE1">
              <w:br/>
              <w:t> </w:t>
            </w:r>
            <w:r w:rsidRPr="00880BE1">
              <w:br/>
              <w:t> </w:t>
            </w:r>
          </w:p>
        </w:tc>
      </w:tr>
    </w:tbl>
    <w:p w:rsidR="00212EDB" w:rsidRDefault="00212EDB" w:rsidP="00212EDB">
      <w:pPr>
        <w:spacing w:line="240" w:lineRule="auto"/>
        <w:rPr>
          <w:rFonts w:hint="eastAsia"/>
          <w:lang w:eastAsia="zh-CN"/>
        </w:rPr>
      </w:pPr>
      <w:r w:rsidRPr="00E00A70">
        <w:t> </w:t>
      </w:r>
    </w:p>
    <w:p w:rsidR="00170E85" w:rsidRDefault="00170E85"/>
    <w:sectPr w:rsidR="00170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DB"/>
    <w:rsid w:val="00002ED6"/>
    <w:rsid w:val="00170E85"/>
    <w:rsid w:val="00212EDB"/>
    <w:rsid w:val="00492A88"/>
    <w:rsid w:val="0087754C"/>
    <w:rsid w:val="00FE0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DB"/>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12EDB"/>
    <w:rPr>
      <w:strike w:val="0"/>
      <w:dstrike w:val="0"/>
      <w:color w:val="005D8B"/>
      <w:sz w:val="24"/>
      <w:szCs w:val="24"/>
      <w:u w:val="none"/>
      <w:effect w:val="none"/>
      <w:bdr w:val="none" w:sz="0" w:space="0" w:color="auto" w:frame="1"/>
      <w:shd w:val="clear" w:color="auto" w:fill="auto"/>
      <w:vertAlign w:val="baseline"/>
    </w:rPr>
  </w:style>
  <w:style w:type="character" w:customStyle="1" w:styleId="glink1">
    <w:name w:val="glink1"/>
    <w:rsid w:val="00212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DB"/>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12EDB"/>
    <w:rPr>
      <w:strike w:val="0"/>
      <w:dstrike w:val="0"/>
      <w:color w:val="005D8B"/>
      <w:sz w:val="24"/>
      <w:szCs w:val="24"/>
      <w:u w:val="none"/>
      <w:effect w:val="none"/>
      <w:bdr w:val="none" w:sz="0" w:space="0" w:color="auto" w:frame="1"/>
      <w:shd w:val="clear" w:color="auto" w:fill="auto"/>
      <w:vertAlign w:val="baseline"/>
    </w:rPr>
  </w:style>
  <w:style w:type="character" w:customStyle="1" w:styleId="glink1">
    <w:name w:val="glink1"/>
    <w:rsid w:val="0021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ge.com.au/opinion/fight-free-of-anzac-lest-we-forget-other-stories-20090422-afb5.html" TargetMode="External"/><Relationship Id="rId3" Type="http://schemas.openxmlformats.org/officeDocument/2006/relationships/settings" Target="settings.xml"/><Relationship Id="rId7" Type="http://schemas.openxmlformats.org/officeDocument/2006/relationships/hyperlink" Target="http://ausvels.vcaa.vic.edu.au/Curriculum/ContentDescription/ACELT17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usvels.vcaa.vic.edu.au/Curriculum/ContentDescription/ACELY1747" TargetMode="External"/><Relationship Id="rId11" Type="http://schemas.openxmlformats.org/officeDocument/2006/relationships/theme" Target="theme/theme1.xml"/><Relationship Id="rId5" Type="http://schemas.openxmlformats.org/officeDocument/2006/relationships/hyperlink" Target="http://ausvels.vcaa.vic.edu.au/Curriculum/ContentDescription/ACELY174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s.theage.com.au/yoursay/archives/2009/04/creation_of_a_n.html?page=fullpage#com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Ballarat - ICT Services</dc:creator>
  <cp:lastModifiedBy>University of Ballarat - ICT Services</cp:lastModifiedBy>
  <cp:revision>2</cp:revision>
  <dcterms:created xsi:type="dcterms:W3CDTF">2013-06-23T17:54:00Z</dcterms:created>
  <dcterms:modified xsi:type="dcterms:W3CDTF">2013-06-23T18:39:00Z</dcterms:modified>
</cp:coreProperties>
</file>